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9C" w:rsidRDefault="00B86F9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86F9C" w:rsidRDefault="00B86F9C">
      <w:pPr>
        <w:pStyle w:val="ConsPlusNormal"/>
        <w:jc w:val="both"/>
        <w:outlineLvl w:val="0"/>
      </w:pPr>
    </w:p>
    <w:p w:rsidR="00B86F9C" w:rsidRDefault="00B86F9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86F9C" w:rsidRDefault="00B86F9C">
      <w:pPr>
        <w:pStyle w:val="ConsPlusTitle"/>
        <w:jc w:val="center"/>
      </w:pPr>
    </w:p>
    <w:p w:rsidR="00B86F9C" w:rsidRDefault="00B86F9C">
      <w:pPr>
        <w:pStyle w:val="ConsPlusTitle"/>
        <w:jc w:val="center"/>
      </w:pPr>
      <w:r>
        <w:t>РАСПОРЯЖЕНИЕ</w:t>
      </w:r>
    </w:p>
    <w:p w:rsidR="00B86F9C" w:rsidRDefault="00B86F9C">
      <w:pPr>
        <w:pStyle w:val="ConsPlusTitle"/>
        <w:jc w:val="center"/>
      </w:pPr>
      <w:r>
        <w:t>от 5 сентября 2015 г. N 1738-р</w:t>
      </w:r>
    </w:p>
    <w:p w:rsidR="00B86F9C" w:rsidRDefault="00B86F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6F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6F9C" w:rsidRDefault="00B86F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6F9C" w:rsidRDefault="00B86F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17.09.2016 N 1969-р)</w:t>
            </w:r>
          </w:p>
        </w:tc>
      </w:tr>
    </w:tbl>
    <w:p w:rsidR="00B86F9C" w:rsidRDefault="00B86F9C">
      <w:pPr>
        <w:pStyle w:val="ConsPlusNormal"/>
        <w:jc w:val="center"/>
      </w:pPr>
    </w:p>
    <w:p w:rsidR="00B86F9C" w:rsidRDefault="00B86F9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7" w:history="1">
        <w:r>
          <w:rPr>
            <w:color w:val="0000FF"/>
          </w:rPr>
          <w:t>стандарт</w:t>
        </w:r>
      </w:hyperlink>
      <w:r>
        <w:t xml:space="preserve"> развития конкуренции в субъектах Российской Федерации (далее - стандарт).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РФ от 17.09.2016 N 1969-р.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3. Рекомендовать: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</w:t>
      </w:r>
      <w:hyperlink w:anchor="P27" w:history="1">
        <w:r>
          <w:rPr>
            <w:color w:val="0000FF"/>
          </w:rPr>
          <w:t>стандарта</w:t>
        </w:r>
      </w:hyperlink>
      <w:r>
        <w:t>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субъектам естественных монополий руководствоваться положениями </w:t>
      </w:r>
      <w:hyperlink w:anchor="P27" w:history="1">
        <w:r>
          <w:rPr>
            <w:color w:val="0000FF"/>
          </w:rPr>
          <w:t>стандарта</w:t>
        </w:r>
      </w:hyperlink>
      <w:r>
        <w:t xml:space="preserve"> в рамках раскрытия информации о своей деятельности.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right"/>
      </w:pPr>
      <w:r>
        <w:t>Председатель Правительства</w:t>
      </w:r>
    </w:p>
    <w:p w:rsidR="00B86F9C" w:rsidRDefault="00B86F9C">
      <w:pPr>
        <w:pStyle w:val="ConsPlusNormal"/>
        <w:jc w:val="right"/>
      </w:pPr>
      <w:r>
        <w:t>Российской Федерации</w:t>
      </w:r>
    </w:p>
    <w:p w:rsidR="00B86F9C" w:rsidRDefault="00B86F9C">
      <w:pPr>
        <w:pStyle w:val="ConsPlusNormal"/>
        <w:jc w:val="right"/>
      </w:pPr>
      <w:r>
        <w:t>Д.МЕДВЕДЕВ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right"/>
        <w:outlineLvl w:val="0"/>
      </w:pPr>
      <w:r>
        <w:t>Утвержден</w:t>
      </w:r>
    </w:p>
    <w:p w:rsidR="00B86F9C" w:rsidRDefault="00B86F9C">
      <w:pPr>
        <w:pStyle w:val="ConsPlusNormal"/>
        <w:jc w:val="right"/>
      </w:pPr>
      <w:r>
        <w:t>распоряжением Правительства</w:t>
      </w:r>
    </w:p>
    <w:p w:rsidR="00B86F9C" w:rsidRDefault="00B86F9C">
      <w:pPr>
        <w:pStyle w:val="ConsPlusNormal"/>
        <w:jc w:val="right"/>
      </w:pPr>
      <w:r>
        <w:t>Российской Федерации</w:t>
      </w:r>
    </w:p>
    <w:p w:rsidR="00B86F9C" w:rsidRDefault="00B86F9C">
      <w:pPr>
        <w:pStyle w:val="ConsPlusNormal"/>
        <w:jc w:val="right"/>
      </w:pPr>
      <w:r>
        <w:t>от 5 сентября 2015 г. N 1738-р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Title"/>
        <w:jc w:val="center"/>
      </w:pPr>
      <w:bookmarkStart w:id="0" w:name="P27"/>
      <w:bookmarkEnd w:id="0"/>
      <w:r>
        <w:t>СТАНДАРТ</w:t>
      </w:r>
    </w:p>
    <w:p w:rsidR="00B86F9C" w:rsidRDefault="00B86F9C">
      <w:pPr>
        <w:pStyle w:val="ConsPlusTitle"/>
        <w:jc w:val="center"/>
      </w:pPr>
      <w:r>
        <w:t>РАЗВИТИЯ КОНКУРЕНЦИИ В СУБЪЕКТАХ РОССИЙСКОЙ ФЕДЕРАЦИИ</w:t>
      </w:r>
    </w:p>
    <w:p w:rsidR="00B86F9C" w:rsidRDefault="00B86F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6F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6F9C" w:rsidRDefault="00B86F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6F9C" w:rsidRDefault="00B86F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17.09.2016 N 1969-р)</w:t>
            </w:r>
          </w:p>
        </w:tc>
      </w:tr>
    </w:tbl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center"/>
        <w:outlineLvl w:val="1"/>
      </w:pPr>
      <w:r>
        <w:t>I. Общие положения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ind w:firstLine="540"/>
        <w:jc w:val="both"/>
      </w:pPr>
      <w:r>
        <w:t xml:space="preserve">1. Стандарт развития конкуренции в субъектах Российской Федерации (далее соответственно - конкуренция, стандарт) разработан во исполнение </w:t>
      </w:r>
      <w:hyperlink r:id="rId8" w:history="1">
        <w:r>
          <w:rPr>
            <w:color w:val="0000FF"/>
          </w:rPr>
          <w:t>пункта 2 раздела III</w:t>
        </w:r>
      </w:hyperlink>
      <w:r>
        <w:t xml:space="preserve"> плана мероприятий ("дорожной карты") "Развитие конкуренции и совершенствование антимонопольной политики", утвержденного распоряжением Правительства Российской Федерации от 28 декабря 2012 г. N 2579-р.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2. Стандарт разработан в следующих целях: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lastRenderedPageBreak/>
        <w:t>а) 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содействие формированию прозрачной системы работы органов исполнительной власти субъектов Российской Федерации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выявление потенциала развития экономики Российской Федерации, включая научно-технологический и человеческий потенциал;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3. Принципами внедрения стандарта являются: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ориентация на потребителя - высшее должностное лицо (руководитель высшего исполнительного органа государственной власти) субъекта Российской Федерации (далее - высшее должностное лицо) и органы исполнительной власти субъектов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конкуренции, исходя из текущих и предполагаемых потребностей потребителей товаров, работ и услуг, участников экономических отношений и общества в целом;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заинтересованность высшего должностного лица - высшее должностное лицо обеспечивает единство целей и направлений деятельности органов исполнительной власти субъекта Российской Федерации для результативной и эффективной реализации стандарта;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системный подход - совершенствование деятельности органов исполнительной власти субъектов Российской Федерации по анализу состояния рынков товаров, работ и услуг, поведения хозяйствующих субъектов на указанных рынках, выявленных ожиданий потребителей товаров, работ и услуг, по планированию деятельности, а также по формированию процессов и систем мониторинга, оценки, контроля и анализа деятельности органов исполнительной власти субъектов Российской Федерации;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постоянное улучшение деятельности - повышение удовлетворенности потребителей и других участников экономической деятельности качеством товаров, работ и услуг, обеспечение информационного взаимодействия с потребителями товаров, работ и услуг и другими заинтересованными сторонами, проведение аудита и анализа результативности мероприятий по содействию развитию конкуренции;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д) прозрачность деятельности - содействие органов исполнительной власти субъектов Российской Федерации в обеспечении открытости и доступности для потребителей товаров, работ и </w:t>
      </w:r>
      <w:proofErr w:type="gramStart"/>
      <w:r>
        <w:t>услуг</w:t>
      </w:r>
      <w:proofErr w:type="gramEnd"/>
      <w:r>
        <w:t xml:space="preserve"> и других участников экономической деятельности информации о мероприятиях по содействию развитию конкуренции, процедурах оказания услуг, а также о решениях, оказывающих воздействие на экономическую конкуренцию.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4. С учетом положений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10 апреля 2014 г. N 570-р (с изменениями, внесенными распоряжением Правительства Российской Федерации от 10 февраля 2015 г. N 190-р) между органами исполнительной власти субъекта Российской Федерации и органами местного самоуправления предполагается заключение соглашений (меморандумов) о внедрении в субъекте Российской Федерации стандарта (далее - </w:t>
      </w:r>
      <w:r>
        <w:lastRenderedPageBreak/>
        <w:t>соглашения).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 соглашении отражаются положения, определяющие его цели и предмет, описываются порядок, формы и направления взаимодействия органов исполнительной власти субъекта Российской Федерации и органов местного самоуправления. В рамках соглашения органы местного самоуправления оказывают содействие органам исполнительной власти субъекта Российской Федерации при внедрении ими стандарта в субъекте Российской Федерации.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5. Внедрение стандарта осуществляется на основании решения высшего должностного лица.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6. Для достижения целей стандарта и соблюдения принципов его внедрения, формирования перечня рынков товаров, работ и услуг для содействия развитию конкуренции в субъекте Российской Федерации (далее - перечень), а также для разработки плана мероприятий ("дорожной карты") по содействию развитию конкуренции (далее - "дорожная карта") предполагается ознакомление органов исполнительной власти субъекта Российской Федерации и органов местного самоуправления, а также членов коллегиального координационного или совещательного органа, созданного при высшем должностном лице (далее - коллегиальный орган), с Инструментарием для оценки воздействия на конкуренцию (версия 2.0), разработанным Организацией экономического сотрудничества и развития.</w:t>
      </w:r>
    </w:p>
    <w:p w:rsidR="00B86F9C" w:rsidRDefault="00B86F9C">
      <w:pPr>
        <w:pStyle w:val="ConsPlusNormal"/>
        <w:jc w:val="both"/>
      </w:pPr>
      <w:r>
        <w:t xml:space="preserve">(п. 6 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7. Информация и документы, касающиеся внедрения стандарта, не реже чем раз в квартал размещаются на официальном сайте органа исполнительной власти субъекта Российской Федерации, уполномоченного содействовать развитию конкуренции (далее - уполномоченный орган), в информационно-телекоммуникационной сети "Интернет" (далее - сеть "Интернет") и на интернет-портале об инвестиционной деятельности в субъекте Российской Федерации.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center"/>
        <w:outlineLvl w:val="1"/>
      </w:pPr>
      <w:r>
        <w:t>II. Определение уполномоченного органа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ind w:firstLine="540"/>
        <w:jc w:val="both"/>
      </w:pPr>
      <w:r>
        <w:t>8. В субъекте Российской Федерации уполномоченный орган определяется из числа органов исполнительной власти субъектов Российской Федерации.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9. Уполномоченный орган осуществляет следующие полномочия: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формирует проект перечня с аргументированным обоснованием выбора каждого рынка и представляет его на рассмотрение и утверждение высшему должностному лицу;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подготавливает ежегодный доклад о состоянии и развитии конкурентной среды на рынках товаров, работ и услуг субъекта Российской Федерации (далее - доклад) для его рассмотрения и утверждения коллегиальным органом;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разрабатывает проект "дорожной карты" и представляет его на рассмотрение и утверждение высшему должностному лицу;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координирует деятельность органов исполнительной власти субъекта Российской Федерации по выполнению мероприятий, предусмотренных "дорожной картой";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д) организует проведение и (или) проводит не реже 2 раз в год обучающие мероприятия и тренинги для органов местного самоуправления по вопросам содействия развитию конкуренции;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е) формирует при принятии высшим должностным лицом решения, предусматривающего систему поощрений,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ж)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"Интернет";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lastRenderedPageBreak/>
        <w:t xml:space="preserve">з) рассматривает обращения субъектов предпринимательской деятельности, потребителей товаров, работ и </w:t>
      </w:r>
      <w:proofErr w:type="gramStart"/>
      <w:r>
        <w:t>услуг</w:t>
      </w:r>
      <w:proofErr w:type="gramEnd"/>
      <w:r>
        <w:t xml:space="preserve"> и общественных организаций, представляющих интересы потребителей, по вопросам содействия развитию конкуренции, относящимся к компетенции уполномоченного органа;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и) организует проведение мониторинга состояния и развития конкурентной среды на рынках товаров, работ и услуг субъекта Российской Федерации (далее - мониторинг).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center"/>
        <w:outlineLvl w:val="1"/>
      </w:pPr>
      <w:r>
        <w:t>III. Рассмотрение вопросов содействия развитию конкуренции</w:t>
      </w:r>
    </w:p>
    <w:p w:rsidR="00B86F9C" w:rsidRDefault="00B86F9C">
      <w:pPr>
        <w:pStyle w:val="ConsPlusNormal"/>
        <w:jc w:val="center"/>
      </w:pPr>
      <w:r>
        <w:t>на заседаниях коллегиального органа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ind w:firstLine="540"/>
        <w:jc w:val="both"/>
      </w:pPr>
      <w:r>
        <w:t>10. Коллегиальный орган на своих заседаниях рассматривает подготавливаемые в целях стимулирования развития конкуренции: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проект перечня с аргументированным обоснованием выбора каждого рынка;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проект "дорожной карты", включая информацию о разработке и выполнении мероприятий, предусмотренных "дорожной картой";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иную информацию и проекты правовых актов субъекта Российской Федерации в части их потенциального воздействия на состояние и развитие конкуренции;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результаты и анализ результатов мониторинга.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11. Коллегиальный орган рассматривает и утверждает ежегодный доклад, а в случае необходимости представляет замечания, предложения и особые мнения членов коллегиального органа для включения их в доклад.</w:t>
      </w:r>
    </w:p>
    <w:p w:rsidR="00B86F9C" w:rsidRDefault="00B86F9C">
      <w:pPr>
        <w:pStyle w:val="ConsPlusNormal"/>
        <w:spacing w:before="220"/>
        <w:ind w:firstLine="540"/>
        <w:jc w:val="both"/>
      </w:pPr>
      <w:bookmarkStart w:id="1" w:name="P76"/>
      <w:bookmarkEnd w:id="1"/>
      <w:r>
        <w:t>12. В состав коллегиального органа (в том числе в рамках отдельных специализированных рабочих групп по направлениям) включаются: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руководители или заместители руководителей уполномоченного органа, а также иных органов исполнительной власти субъекта Российской Федерации, в функции которых входит реализация мероприятий по содействию развитию конкуренции;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представители совета муниципальных образований, и (или) иных объединений муниципальных образований, и (или) органов местного самоуправления;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представители общественных организаций, действующих в интересах предпринимателей и потребителей товаров, работ и услуг;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представители региональной комиссии по проведению административной реформы;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д) представители научных, исследовательских, проектных, аналитических организаций и технологических платформ;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е) представители потребителей товаров, работ и услуг, задействованные в механизмах общественного контроля за деятельностью субъектов естественных монополий, а также представители некоммерческих объединений, действующих в интересах технологических и ценовых аудиторов;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ж) представители объединений сельскохозяйственных товаропроизводителей, переработчиков сельскохозяйственной продукции, крестьянских (фермерских) хозяйств и сельскохозяйственных кооперативов;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з) представители объединений, действующих в интересах сферы рыбного хозяйства </w:t>
      </w:r>
      <w:r>
        <w:lastRenderedPageBreak/>
        <w:t>(воспроизводство водных биологических ресурсов, аквакультура, марикультура, товарное рыбоводство, промышленное рыболовство, рыбопереработка и др.);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и) представители профессиональных союзов и обществ, в том числе представители организаций, действующих в интересах кадрового обеспечения высокотехнологичных отраслей промышленности;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к) представители организаций, действующих в интересах независимых директоров;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л) эксперты и специалисты иных направлений (конструкторы, инженеры, изобретатели, инноваторы, специалисты в области программного обеспечения, информационно-коммуникационных технологий, медицинских и биотехнологий, нанотехнологий, альтернативной энергетики и энергоэффективности, нового материаловедения, представители научно-технологического и промышленно-делового сообщества, участники процесса, задействованные в рамках развития междисциплинарных исследований, направленных на прорывные разработки и открытия, и др.).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13. В случае необходимости в состав коллегиального органа помимо лиц, указанных в </w:t>
      </w:r>
      <w:hyperlink w:anchor="P76" w:history="1">
        <w:r>
          <w:rPr>
            <w:color w:val="0000FF"/>
          </w:rPr>
          <w:t>пункте 12</w:t>
        </w:r>
      </w:hyperlink>
      <w:r>
        <w:t xml:space="preserve"> стандарта, могут включаться иные участники (с учетом региональной специфики).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14. В заседаниях коллегиального органа могут принимать участие, а также являться членами отдельных специализированных рабочих групп по направлениям: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представители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картографии, Федеральной службы по надзору в сфере защиты прав потребителей и благополучия человека;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уполномоченный по защите прав предпринимателей в субъекте Российской Федерации;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уполномоченный по правам человека в субъекте Российской Федерации.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15. Указанные в настоящем разделе функции коллегиального органа в случае необходимости возлагаются на общественный координационный или совещательный орган, созданный в субъекте Российской Федерации с целью улучшения инвестиционного климата, либо на иной общественный координационный или совещательный орган, действующий в целях улучшения условий для ведения предпринимательской деятельности в субъекте Российской Федерации.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16. Материалы заседаний коллегиального органа являются открытыми и размещаются на официальном сайте уполномоченного органа в сети "Интернет".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center"/>
        <w:outlineLvl w:val="1"/>
      </w:pPr>
      <w:r>
        <w:t>IV. Утверждение перечня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ind w:firstLine="540"/>
        <w:jc w:val="both"/>
      </w:pPr>
      <w:r>
        <w:t>17. Уполномоченный орган разрабатывает проект перечня, состоящего из перечня приоритетных рынков и перечня социально значимых рынков, обосновывая выбор каждого рынка из приоритетных или социально значимых рынков, и устанавливает целевые показатели в отношении таких рынков.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18. При формировании перечня рекомендуется в первую очередь включать в него рынки, характеризующиеся наличием значимых проблем, препятствующих конкуренции.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19. При формировании перечня приоритетных рынков рекомендуется в первую очередь включать в него рынки товаров, работ и услуг несырьевого сектора экономики с высокой степенью передела и добавленной стоимости конечной продукции, имеющей экспортный потенциал и (или) возможность замещения импорта, чьи производственно-технологические и инновационные </w:t>
      </w:r>
      <w:r>
        <w:lastRenderedPageBreak/>
        <w:t>цепочки, а также цепочки создания добавленных стоимостей находятся преимущественно в Российской Федерации (в том числе в рамках промышленных и инновационных кластеров).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20. Особое внимание при формировании перечня приоритетных рынков рекомендуется уделять развитию производств высокотехнологичной продукции и (или) технически сложной продукции с перспективными технологиями, стремящимися к инновационным системам полного цикла в Российской Федерации и имеющими потенциал достижения новых технологических уровней и (или) потенциал встраивания в глобальную производственную и технологическую кооперацию.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21. Перечень разрабатывается на основе анализа результатов мониторинга. При этом в него ежегодно вносятся изменения с учетом результатов указанного анализа.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22. При формировании перечня социально значимых рынков в первую очередь в него включается обязательный перечень рынков, предусмотренных </w:t>
      </w:r>
      <w:hyperlink w:anchor="P251" w:history="1">
        <w:r>
          <w:rPr>
            <w:color w:val="0000FF"/>
          </w:rPr>
          <w:t>приложением</w:t>
        </w:r>
      </w:hyperlink>
      <w:r>
        <w:t xml:space="preserve"> к стандарту, в отношении которых целесообразно придерживаться установленных числовых значений целевых показателей либо установить числовые значения целевых показателей с учетом региональной специфики.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23. Помимо рынков, предусмотренных </w:t>
      </w:r>
      <w:hyperlink w:anchor="P251" w:history="1">
        <w:r>
          <w:rPr>
            <w:color w:val="0000FF"/>
          </w:rPr>
          <w:t>приложением</w:t>
        </w:r>
      </w:hyperlink>
      <w:r>
        <w:t xml:space="preserve"> к стандарту, при формировании перечня социально значимых рынков субъект Российской Федерации может дополнить его иными социально значимыми рынками (с учетом региональной специфики).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24. Формирование перечня осуществляется в том числе на основе следующих данных: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информация территориальных органов федеральных органов исполнительной власти, в том числе информация территориального органа Федеральной антимонопольной службы, полученная в результате анализа товарных рынков субъекта Российской Федерации и в результате проведения антимонопольного контроля;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показатели социально-экономического развития субъекта Российской Федерации (включая показатели по каждому из отдельных муниципальных образований);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инвестиционные приоритеты, определенные документом стратегического планирования в области инвестиционной деятельности (инвестиционной стратегии) субъекта Российской Федерации;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инвестиционные механизмы и приоритеты, определенные документом стратегического планирования в области инвестиционной деятельности муниципальных образований, при формировании которого предусматривается ознакомление органов местного самоуправления с разработанными автономной некоммерческой организацией "Агентство стратегических инициатив по продвижению новых проектов" информационными материалами, обобщающими лучшие муниципальные практики ("Атлас муниципальных практик"), и в случае необходимости использование их в работе;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д) информация, содержащаяся в документах стратегического планирования Российской Федерации, субъекта Российской Федерации и муниципальных образований (при наличии);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е) результаты аналитических исследований и опросов субъектов предпринимательской деятельности, экспертов, потребителей товаров, работ и </w:t>
      </w:r>
      <w:proofErr w:type="gramStart"/>
      <w:r>
        <w:t>услуг</w:t>
      </w:r>
      <w:proofErr w:type="gramEnd"/>
      <w:r>
        <w:t xml:space="preserve"> и общественных организаций, представляющих интересы потребителей, включая результаты мониторинга;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ж) информация научных, исследовательских, аналитических и проектных организаций, экспертные оценки состояния рынков и отраслей региональной экономики, а также данные хозяйствующих субъектов об их деятельности.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lastRenderedPageBreak/>
        <w:t>25. Информация о разработке проекта перечня рынков и проект перечня рынков размещаются на официальном сайте уполномоченного органа в сети "Интернет". Субъектам предпринимательской деятельности, потребителям товаров, работ и услуг и общественным организациям, представляющим интересы потребителей, обеспечивается возможность представления замечаний и предложений по проекту перечня.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26. Проект перечня рассматривается на заседании коллегиального органа, одобряется им, вносится на рассмотрение высшего должностного лица и утверждается им.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center"/>
        <w:outlineLvl w:val="1"/>
      </w:pPr>
      <w:r>
        <w:t>V. Разработка "дорожной карты"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ind w:firstLine="540"/>
        <w:jc w:val="both"/>
      </w:pPr>
      <w:r>
        <w:t>27. Утверждение "дорожной карты" осуществляется на уровне высшего должностного лица.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28. "Дорожная карта" разрабатывается на основе анализа результатов мониторинга. При этом в "дорожную карту" ежегодно вносятся изменения с учетом результатов указанного анализа.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29. Мероприятия (в том числе системные), предусмотренные "дорожной картой", для рынков, предусмотренных </w:t>
      </w:r>
      <w:hyperlink w:anchor="P251" w:history="1">
        <w:r>
          <w:rPr>
            <w:color w:val="0000FF"/>
          </w:rPr>
          <w:t>приложением</w:t>
        </w:r>
      </w:hyperlink>
      <w:r>
        <w:t xml:space="preserve"> к стандарту, могут разрабатываться до выполнения проведения мониторинга.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30. При разработке и реализации "дорожной карты", а также при внесении в нее изменений осуществляются: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определение процессов, необходимых для реализации требований по развитию конкуренции;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определение последовательности и взаимодействия этих процессов, а также их приоритетность;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определение критериев и методов, необходимых для обеспечения результативности и эффективности как при осуществлении этих процессов, так и при управлении ими;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обеспечение ресурсов и информации, необходимых для поддержания этих процессов и их мониторинга;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д) определение принципов и порядка взаимодействия органов исполнительной власти субъекта Российской Федерации с органами местного самоуправления;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е) мониторинг, измерение и анализ процессов, необходимых для реализации требований в отношении развития конкуренции;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ж) мероприятия, необходимые для достижения запланированных результатов.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31. "Дорожной картой" предусматриваются системные мероприятия, а также следующие выполняемые органами исполнительной власти субъекта Российской Федерации мероприятия, в отношении которых органы местного самоуправления могут быть соисполнителями в рамках соглашения: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содействие развитию конкуренции для каждого из предусмотренных перечнем социально значимых рынков субъекта Российской Федерации;</w:t>
      </w:r>
    </w:p>
    <w:p w:rsidR="00B86F9C" w:rsidRDefault="00B86F9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содействие развитию конкуренции для каждого из предусмотренных перечнем приоритетных рынков субъекта Российской Федерации.</w:t>
      </w:r>
    </w:p>
    <w:p w:rsidR="00B86F9C" w:rsidRDefault="00B86F9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lastRenderedPageBreak/>
        <w:t xml:space="preserve">32. Системные мероприятия, предусмотренные "дорожной картой" с учетом </w:t>
      </w:r>
      <w:hyperlink w:anchor="P251" w:history="1">
        <w:r>
          <w:rPr>
            <w:color w:val="0000FF"/>
          </w:rPr>
          <w:t>приложения</w:t>
        </w:r>
      </w:hyperlink>
      <w:r>
        <w:t xml:space="preserve"> к стандарту, направлены на развитие конкурентной среды в субъекте Российской Федерации, в том числе: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на оптимизацию процедур государственных и муниципальных закупок, а также закупок товаров, работ и услуг хозяйствующими субъектами, доля участия субъекта Российской Федерации или муниципального образования в которых составляет 50 и более процентов, включая: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обеспечение прозрачности и доступности закупок товаров, работ и услуг указанными хозяйствующими субъектами, в том числе устранение случаев (снижение количества) применения способа закупки "у единственного поставщика", а также применение конкурентных процедур закупок (конкурс, аукцион и др.);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введение механизма оказания содействия участникам осуществления закупки по вопросам, связанным с получением электронной подписи, формированием заявок, а также правовым сопровождением при проведении конкурентных процедур закупок;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на устранение избыточного государственного и муниципального регулирования, а также на снижение административных барьеров, включая: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</w:r>
      <w:hyperlink r:id="rId13" w:history="1">
        <w:r>
          <w:rPr>
            <w:color w:val="0000FF"/>
          </w:rPr>
          <w:t>статьям 15</w:t>
        </w:r>
      </w:hyperlink>
      <w:r>
        <w:t xml:space="preserve"> и </w:t>
      </w:r>
      <w:hyperlink r:id="rId14" w:history="1">
        <w:r>
          <w:rPr>
            <w:color w:val="0000FF"/>
          </w:rPr>
          <w:t>16</w:t>
        </w:r>
      </w:hyperlink>
      <w:r>
        <w:t xml:space="preserve"> Федерального закона "О защите конкуренции";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оптимизацию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оказания и снижения стоимости предоставления таких услуг;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включение пунктов, касающихся анализа воздействия на состояние конкуренции, в порядки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устанавливаемые в соответствии с федеральными законами "</w:t>
      </w:r>
      <w:hyperlink r:id="rId15" w:history="1">
        <w:r>
          <w:rPr>
            <w:color w:val="0000FF"/>
          </w:rPr>
          <w:t>Об общих принципах</w:t>
        </w:r>
      </w:hyperlink>
      <w:r>
        <w:t xml:space="preserve"> организации законодательных (представительных) и исполнительных органов государственной власти субъектов Российской Федерации" и "</w:t>
      </w:r>
      <w:hyperlink r:id="rId16" w:history="1">
        <w:r>
          <w:rPr>
            <w:color w:val="0000FF"/>
          </w:rPr>
          <w:t>Об общих принципах</w:t>
        </w:r>
      </w:hyperlink>
      <w:r>
        <w:t xml:space="preserve">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актов, а также в соответствующий аналитический инструментарий (инструкции, формы, стандарты и др.);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конкуренцию, включая: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разработку, утверждение и выполнение комплексного плана (программы)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осуществляющими предпринимательскую деятельность, в котором содержатся в том числе ключевые показатели эффективности деятельности, целевые </w:t>
      </w:r>
      <w:r>
        <w:lastRenderedPageBreak/>
        <w:t>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пакетов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план мер по ограничению влияния государственных и муниципальных предприятий на условия формирования рыночных отношений;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организацию и проведение публичных торгов или иных конкурентных процедур при реализации имущества хозяйствующими субъектами, доля участия субъекта Российской Федерации или муниципального образования в которых составляет 50 и более процентов;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создание условий, согласно которым указанные хозяйствующие субъекты при допуске к участию в закупках для обеспечения государственных и муниципальных нужд принимают участие в указанных закупках на равных условиях (с проведением конкурентных процедур) с иными хозяйствующими субъектами;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д) на развитие механизмов поддержки технического и научно-технического творчества детей и молодежи,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е) на обеспечение равных условий доступа к информации о реализации государственного имущества субъекта Российской Федерации и имущества, находящегося в собственности муниципальных образований, а также ресурсов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 на официальном сайте уполномоченного органа в сети "Интернет";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ж) на мобильность трудовых ресурсов, способствующую повышению эффективности труда;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з) на 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и) на 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WorldSkills International);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к) на 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л) на содействие созданию и развитию институтов поддержки субъектов малого предпринимательства в инновационной деятельности (прежде всего, финансирование начальной стадии развития организации, гарантия непрерывности поддержки), обеспечивающих благоприятную экономическую среду для среднего и крупного бизнеса.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33. В "дорожной карте" предусматриваются исходная фактическая информация (в том числе числовая) в отношении ситуации и проблематики каждого пункта, указанного при разработке, мероприятия, обеспечивающие достижение установленных целей (результатов), с указанием ответственных исполнителей и соисполнителей, а также срока реализации таких мероприятий.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lastRenderedPageBreak/>
        <w:t>34. Планируется, что мероприятия, предусмотренные "дорожной картой", затронут все сферы деятельности органов исполнительной власти субъекта Российской Федерации и органов местного самоуправления, учитывая возможное взаимодействие по соисполнению этих мероприятий (предусматривается в рамках соглашения), в соответствии с реализуемыми функциями и полномочиями, напрямую или косвенно влияющими на развитие конкуренции.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35. Предполагается, что реализация мероприятий, предусмотренных "дорожной картой", обеспечит достижение целевых показателей развития конкуренции, установленных "дорожной картой".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36. Предусматривается включение в "дорожную карту" самостоятельных мероприятий, не входящих в планы мероприятий иных стратегических и программных документов субъекта Российской Федерации. Мероприятия, предусмотренные иными утвержденными в установленном порядке на федеральном уровне и (или) на уровне субъекта Российской Федерации стратегическими и программными документами, реализация которых оказывает влияние на состояние конкуренции, служат неотъемлемым дополнением к мероприятиям, предусмотренным "дорожной картой", и указываются в отдельном приложении к ней.</w:t>
      </w:r>
    </w:p>
    <w:p w:rsidR="00B86F9C" w:rsidRDefault="00B86F9C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37. Мероприятия, предусмотренные "дорожной картой", на основании соглашения могут содержать мероприятия для муниципальных образований.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38. Для каждого органа исполнительной власти субъекта Российской Федерации и для каждого органа местного самоуправления, являющегося ответственным за выполнение мероприятий, предусмотренных "дорожной картой", предполагается разработать и утвердить ведомственный план по реализации указанных мероприятий.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39. Проект "дорожной карты" планируется рассматривать, одобрять и вносить на рассмотрение и утверждение высшего должностного лица на заседании коллегиального органа.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40. Информация о "дорожной карте", ее реализации и реализации ее отдельных мероприятий размещается на официальном сайте уполномоченного органа в сети "Интернет".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center"/>
        <w:outlineLvl w:val="1"/>
      </w:pPr>
      <w:r>
        <w:t>VI. Проведение мониторинга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ind w:firstLine="540"/>
        <w:jc w:val="both"/>
      </w:pPr>
      <w:r>
        <w:t>41. Уполномоченный орган ежегодно организует проведение мониторинга.</w:t>
      </w:r>
    </w:p>
    <w:p w:rsidR="00B86F9C" w:rsidRDefault="00B86F9C">
      <w:pPr>
        <w:pStyle w:val="ConsPlusNormal"/>
        <w:spacing w:before="220"/>
        <w:ind w:firstLine="540"/>
        <w:jc w:val="both"/>
      </w:pPr>
      <w:bookmarkStart w:id="2" w:name="P168"/>
      <w:bookmarkEnd w:id="2"/>
      <w:r>
        <w:t>42. Мониторинг включает в себя: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мониторинг наличия (отсутствия) административных барьеров и оценки состояния конкурентной среды субъектами предпринимательской деятельности, предусматривающий: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выделение групп субъектов предпринимательской деятельности (малый, средний, крупный бизнес), а также вида деятельности (наименование рынка, на котором субъект предпринимательской деятельности, приводящий свою оценку состояния конкурентной среды, осуществляет фактическую предпринимательскую деятельность);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сбор данных о состоянии конкурентной среды и его изменении во времени,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сбор данных о наличии и уровне административных барьеров во всех сферах регулирования и их динамике, в том числе данных о наличии жалоб в надзорные органы по этой проблематике и динамике их поступления в сравнении с предыдущим отчетным периодом,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lastRenderedPageBreak/>
        <w:t>б) мониторинг удовлетворенности потребителей качеством товаров, работ и услуг на товарных рынках субъекта Российской Федерации и состоянием ценовой конкуренции, предусматривающий: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выделение групп потребителей товаров, работ и услуг в соответствии с их социальным статусом (учащиеся, пенсионеры и др.);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сбор данных об удовлетворенности качеством товаров, работ и услуг потребителей, приобретавших товар, работу и услугу в определенный период, в том числе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сбор данных о восприятии и динамике оценки потребителями состояния конкуренции между продавцами товаров, работ и услуг в субъекте Российской Федерации посредством ценообразования;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мониторинг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органом и муниципальными образованиями;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мониторинг деятельности субъектов естественных монополий на территории субъекта Российской Федерации, предусматривающий: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формирование перечня рынков, на которых присутствуют субъекты естественных монополий;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сбор данных о развитии конкуренции и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сбор и анализ данных об уровнях тарифов (цен), установленных региональным органом по регулированию тарифов, за текущий и прошедший периоды;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 и услуг, задействованных в механизмах общественного контроля за деятельностью субъектов естественных монополий;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д) 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предусматривающий формирование реестра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 указанных хозяйствующих субъектов, осуществляющих деятельность на территории субъекта Российской Федерации, с обозначением рынка их присутствия, на котором осуществляется такая деятельность, а также с указанием доли занимаемого рынка каждого такого хозяйствующего субъекта (в том числе объем (доля) выручки в общей величине стоимостного оборота рынка, объем (доля) реализованных на рынке товаров, работ и услуг в натуральном выражении, объем финансирования из бюджета субъекта Российской Федерации и бюджетов муниципальных образований).</w:t>
      </w:r>
    </w:p>
    <w:p w:rsidR="00B86F9C" w:rsidRDefault="00B86F9C">
      <w:pPr>
        <w:pStyle w:val="ConsPlusNormal"/>
        <w:spacing w:before="220"/>
        <w:ind w:firstLine="540"/>
        <w:jc w:val="both"/>
      </w:pPr>
      <w:bookmarkStart w:id="3" w:name="P184"/>
      <w:bookmarkEnd w:id="3"/>
      <w:r>
        <w:t>43. При проведении мониторинга уполномоченный орган использует в том числе: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а) результаты опросов субъектов предпринимательской деятельности, экспертов, </w:t>
      </w:r>
      <w:r>
        <w:lastRenderedPageBreak/>
        <w:t>потребителей товаров, работ и услуг, проводимых уполномоченным органом, всероссийскими бизнес-ассоциациями и организациями, представляющими интересы потребителей;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обращения субъектов предпринимательской деятельности, экспертов, потребителей товаров, работ и услуг, касающиеся качества конкурентной среды, в органы исполнительной власти субъекта Российской Федерации, политические и общественные организации, в частности организации, представляющие интересы субъектов предпринимательской деятельности и потребителей товаров, работ и услуг;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в) информацию о результатах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</w:t>
      </w:r>
      <w:proofErr w:type="gramStart"/>
      <w:r>
        <w:t>картографии</w:t>
      </w:r>
      <w:proofErr w:type="gramEnd"/>
      <w:r>
        <w:t xml:space="preserve"> и Федеральной службы по надзору в сфере защиты прав потребителей и благополучия человека;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информацию научных, исследовательских, аналитических, проектных организаций, экспертные оценки состояния рынков и отраслей региональной экономики, информацию хозяйствующих субъектов об их деятельности, а также иные данные, в том числе данные, опубликованные в средствах массовой информации;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д) информацию о результатах мониторинга, организация проведения которого планируется в рамках соглашения и может стать частью мероприятий, предусмотренных "дорожной картой", осуществляемого муниципальными образованиями;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е) показатели, характеризующие состояние экономики и социальной сферы каждого муниципального образования;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ж) информацию о результатах общественного контроля за деятельностью субъектов естественных монополий;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з) информацию о результатах анализа правоприменительной практики территориальных органов Федеральной антимонопольной службы, которая предоставляется Службой, в том числе о доле (процентах) оспоренных в судах решений территориальных органов Службы, а также о доле (процентах) их решений, вступивших в законную силу, с разбивкой по направлениям деятельности.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44. Уполномоченный орган вправе самостоятельно выбирать методику проведения мониторинга в соответствии с </w:t>
      </w:r>
      <w:hyperlink w:anchor="P168" w:history="1">
        <w:r>
          <w:rPr>
            <w:color w:val="0000FF"/>
          </w:rPr>
          <w:t>пунктами 42</w:t>
        </w:r>
      </w:hyperlink>
      <w:r>
        <w:t xml:space="preserve"> и </w:t>
      </w:r>
      <w:hyperlink w:anchor="P184" w:history="1">
        <w:r>
          <w:rPr>
            <w:color w:val="0000FF"/>
          </w:rPr>
          <w:t>43</w:t>
        </w:r>
      </w:hyperlink>
      <w:r>
        <w:t xml:space="preserve"> стандарта, а также определять критерии: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оценки состояния конкурентной среды субъектами предпринимательской деятельности;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установления наличия и уровня административных барьеров и их оценки субъектами предпринимательской деятельности;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удовлетворенности потребителей качеством товаров, работ и услуг на товарных рынках субъекта Российской Федерации, а также состоянием ценовой конкуренции;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иные критерии.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45. На основе мониторинга наличия административных барьеров и оценки состояния конкурентной среды, представляемых субъектами предпринимательской деятельности, а также мониторинга удовлетворенности потребителей качеством товаров, работ и услуг на товарных рынках осуществляются формирование главных показателей (показатели первого уровня)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самоуправления, которые могут быть включены в показатели деятельности органов исполнительной власти субъекта Российской Федерации и (в рамках соглашения) органов местного </w:t>
      </w:r>
      <w:r>
        <w:lastRenderedPageBreak/>
        <w:t>самоуправления.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46. Результаты мониторинга наличия административных барьеров и оценки состояния конкурентной среды, представляемых субъектами предпринимательской деятельности, а также мониторинга удовлетворенности потребителей качеством товаров, работ и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47. По результатам проведенного мониторинга уполномоченный орган подготавливает доклад, содержащий в том числе: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характеристику состояния конкуренции на рынках, включенных в перечень, а также анализ факторов, ограничивающих конкуренцию;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данные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удовлетворенности потребителей качеством товаров, работ и услуг на товарных рынках субъекта Российской Федерации;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информацию о результатах общественного контроля за деятельностью субъектов естественных монополий;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анализ результативности и эффективности деятельности органов исполнительной власти субъекта Российской Федерации и органов местного самоуправления по содействию развитию конкуренции, включая оценку результатов реализации мероприятий, предусмотренных "дорожной картой", а также достижения целевых показателей развития конкуренции в субъекте Российской Федерации;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д) предложения об улучшении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конкуренции, а также об улучшении качества (уровень доступности, полнота, скорость и удобство получения) официальной информации по результатам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48. Доклад рассматривается и утверждается коллегиальным органом и размещается на официальном сайте уполномоченного органа в сети "Интернет".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49. Доклад ежегодно, до 10 марта года, следующего за отчетным, направляется уполномоченным органом в Федеральную антимонопольную службу, Министерство экономического развития Российской Федерации, автономную некоммерческую организацию "Аналитический центр при Правительстве Российской Федерации" и в автономную некоммерческую организацию "Агентство стратегических инициатив по продвижению новых проектов".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50. Материалы доклада могут использоваться Федеральной антимонопольной службой, Министерством экономического развития Российской Федерации и автономной некоммерческой организацией "Агентство стратегических инициатив по продвижению новых проектов" для формирования единой позиции при подготовке предложений в Правительство Российской Федерации о внесении изменений в законодательство Российской Федерации, утверждение (принятие) которых позволит повысить развитие конкуренции и улучшить условия ведения бизнеса в Российской Федерации.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lastRenderedPageBreak/>
        <w:t>51. Материалы доклада используются при внесении изменений в стандарт.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52. На основе предложений об улучшении деятельности в области содействия развитию конкуренции, содержащихся в докладе, коллегиальный орган вносит предложения о корректировке "дорожной карты".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center"/>
        <w:outlineLvl w:val="1"/>
      </w:pPr>
      <w:r>
        <w:t>VII. Создание и реализация механизмов общественного</w:t>
      </w:r>
    </w:p>
    <w:p w:rsidR="00B86F9C" w:rsidRDefault="00B86F9C">
      <w:pPr>
        <w:pStyle w:val="ConsPlusNormal"/>
        <w:jc w:val="center"/>
      </w:pPr>
      <w:r>
        <w:t>контроля за деятельностью субъектов естественных монополий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ind w:firstLine="540"/>
        <w:jc w:val="both"/>
      </w:pPr>
      <w:r>
        <w:t xml:space="preserve">53. Органами исполнительной власти субъекта Российской Федерации обеспечивается создание и реализация механизмов общественного контроля за деятельностью субъектов естественных монополий в соответствии с </w:t>
      </w:r>
      <w:hyperlink r:id="rId18" w:history="1">
        <w:r>
          <w:rPr>
            <w:color w:val="0000FF"/>
          </w:rPr>
          <w:t>Концепцией</w:t>
        </w:r>
      </w:hyperlink>
      <w:r>
        <w:t xml:space="preserve"> создания и развития механизмов общественного контроля за деятельностью субъектов естественных монополий с участием потребителей, утвержденной распоряжением Правительства Российской Федерации от 19 сентября 2013 г. N 1689-р, внедрение механизма технологического и ценового аудита инвестиционных проектов субъектов естественных монополий, в рамках которых в том числе обеспечивается учет мнения потребителей товаров, работ и услуг субъектов естественных монополий при осуществлении тарифного регулирования, а также при согласовании и утверждении схем территориального планирования субъектов Российской Федерации и муниципальных районов, генеральных планов поселений и городских округов.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Также могут быть учтены мнения представителей потребителей товаров, работ и услуг, задействованных в механизмах общественного контроля за деятельностью субъектов естественных монополий, при согласовании и утверждении инвестиционных программ субъектов естественных монополий.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проводить информационные кампании, обеспечивающие донесение до всех участников общественного контроля информации о порядке проведения указанных процедур.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Под учетом мнения потребителей товаров, работ и услуг понимается необходимость на всех стадиях рассмотрения инвестиционных проектов (программ) субъектов естественных монополий, схем территориального планирования субъектов Российской Федерации и муниципальных районов, генеральных планов поселений и городских округов и принятия решений по тарифам получать мнения потребителей товаров, работ и услуг, предпринимателей и экспертов, задействованных в рамках общественного контроля за деятельностью субъектов естественных монополий, давать развернутые обоснованные письменные ответы на них с указанием причин несогласия, обеспечивать для представителей таких потребителей товаров, работ и услуг полноту доступа к информации, раскрытие которой предписано законодательством Российской Федерации, а также обеспечивать открытость и публичность указанного взаимодействия.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54. Органы исполнительной власти субъекта Российской Федерации в рамках полномочий, закрепленных за ними законодательством Российской Федерации, обеспечивают контроль за раскрытием информации и деятельностью субъектов естественных монополий. Высшее должностное лицо обеспечивает общественный контроль за деятельностью органов исполнительной власти субъекта Российской Федерации, осуществляющих регулирование деятельности субъектов естественных монополий.</w:t>
      </w:r>
    </w:p>
    <w:p w:rsidR="00B86F9C" w:rsidRDefault="00B86F9C">
      <w:pPr>
        <w:pStyle w:val="ConsPlusNormal"/>
        <w:spacing w:before="220"/>
        <w:ind w:firstLine="540"/>
        <w:jc w:val="both"/>
      </w:pPr>
      <w:bookmarkStart w:id="4" w:name="P220"/>
      <w:bookmarkEnd w:id="4"/>
      <w:r>
        <w:t>55. Субъектам естественных монополий, осуществляющим деятельность на территории субъекта Российской Федерации, рекомендуется размещать для общего сведения информацию о своей деятельности, предусмотренную к обязательному раскрытию в соответствии с законодательством Российской Федерации, в том числе: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а) информацию о реализуемых и планируемых к реализации на территории субъекта </w:t>
      </w:r>
      <w:r>
        <w:lastRenderedPageBreak/>
        <w:t>Российской Федерации инвестиционных программах, включая ключевые показатели эффективности реализации таких программ;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информацию о результатах технологического и ценового аудита инвестиционных проектов с указанием экспертной организации, осуществляющей технологический и ценовой аудит, информации о параметрах заключенного с такой экспертной организацией договора на проведение технологического и ценового аудита (техническое задание, цена договора, сроки исполнения этапов работ по договору), а также итоги экспертного обсуждения результатов технологического и ценового аудита представителями потребителей товаров, работ и услуг, задействованных в механизмах общественного контроля за деятельностью субъектов естественных монополий;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информацию о структуре тарифов на услуги (включая проект тарифной заявки), параметрах качества и надежности предоставляемых товаров, работ и услуг, стандартах качества товаров, работ и услуг (стандартах качества обслуживания потребителей товаров, работ и услуг) и процедур предоставления товаров, работ и услуг потребителям, а также о наличии в составе инвестиционного комитета при совете директоров субъектов естественных монополий представителей потребителей товаров, работ и услуг субъектов естественных монополий и независимых экспертов;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г) иную информацию о своей деятельности, предусмотренную к обязательному раскрытию в соответствии с законодательством Российской Федерации.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 xml:space="preserve">56. Раскрытие информации, указанной в </w:t>
      </w:r>
      <w:hyperlink w:anchor="P220" w:history="1">
        <w:r>
          <w:rPr>
            <w:color w:val="0000FF"/>
          </w:rPr>
          <w:t>пункте 55</w:t>
        </w:r>
      </w:hyperlink>
      <w:r>
        <w:t xml:space="preserve"> стандарта, осуществляется в установленном законодательством порядке на определяемом Правительством Российской Федерации интернет-портале, в том числе с помощью ссылок на указанную информацию, размещенную на официальных сайтах субъектов естественных монополий, органов исполнительной власти субъекта Российской Федерации в сети "Интернет", включая интернет-портал субъекта Российской Федерации, созданный с целью представления инвестиционных возможностей субъекта Российской Федерации.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57.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"Интернет":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(технологического присоединения) к сетям территориальных сетевых организаций 110-35 кВ с детализацией информации о количестве поданных заявок и заключенных договоров на технологическое присоединение, а также о планируемых сроках их строительства и реконструкции в соответствии с утвержденной инвестиционной программой;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информации, отображающей на географической карте субъекта Российской Федерации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в соответствии с утвержденной инвестиционной программой (с указанием перспективной мощности газораспределительных станций по окончании ее строительства, реконструкции).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58.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образований, а также с иными документами стратегического планирования Российской Федерации.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center"/>
        <w:outlineLvl w:val="1"/>
      </w:pPr>
      <w:r>
        <w:t>VIII. Повышение уровня информированности субъектов</w:t>
      </w:r>
    </w:p>
    <w:p w:rsidR="00B86F9C" w:rsidRDefault="00B86F9C">
      <w:pPr>
        <w:pStyle w:val="ConsPlusNormal"/>
        <w:jc w:val="center"/>
      </w:pPr>
      <w:r>
        <w:t>предпринимательской деятельности и потребителей товаров,</w:t>
      </w:r>
    </w:p>
    <w:p w:rsidR="00B86F9C" w:rsidRDefault="00B86F9C">
      <w:pPr>
        <w:pStyle w:val="ConsPlusNormal"/>
        <w:jc w:val="center"/>
      </w:pPr>
      <w:r>
        <w:t>работ и услуг о состоянии конкурентной среды и деятельности</w:t>
      </w:r>
    </w:p>
    <w:p w:rsidR="00B86F9C" w:rsidRDefault="00B86F9C">
      <w:pPr>
        <w:pStyle w:val="ConsPlusNormal"/>
        <w:jc w:val="center"/>
      </w:pPr>
      <w:r>
        <w:t>по содействию развитию конкуренции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ind w:firstLine="540"/>
        <w:jc w:val="both"/>
      </w:pPr>
      <w:r>
        <w:t>59. На официальном сайте уполномоченного органа в сети "Интернет" и интернет-портале об инвестиционной деятельности в субъекте Российской Федерации размещается информация (включая разъяснения к ней) о выполнении требований стандарта и мероприятий, предусмотренных "дорожной картой", а также документы, принимаемые во исполнение стандарта и "дорожной карты" и в целях содействия развитию конкуренции.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Информация о деятельности органов исполнительной власти субъекта Российской Федерации и органов местного самоуправления (в рамках соглашения) по содействию развитию конкуренции также представляется для общего сведения в средствах массовой информации.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60. Общественным организациям, представляющим интересы субъектов предпринимательской деятельности и потребителей товаров, работ и услуг, а также представителям потребителей товаров, работ и услуг, задействованным в механизмах общественного контроля за деятельностью субъектов естественных монополий (в том числе с учетом результатов технологического и ценового аудита инвестиционных проектов субъектов естественных монополий), должна обеспечиваться возможность размещения на официальном сайте уполномоченного органа в сети "Интернет" либо ином специализированном интернет-портале: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а)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товаров, работ и услуг;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б) заключений таких общественных организаций (представителей потребителей товаров, работ и услуг) на представленные на официальных сайтах органов исполнительной власти субъекта Российской Федерации и органов местного самоуправления в сети "Интернет" документы и информацию;</w:t>
      </w:r>
    </w:p>
    <w:p w:rsidR="00B86F9C" w:rsidRDefault="00B86F9C">
      <w:pPr>
        <w:pStyle w:val="ConsPlusNormal"/>
        <w:spacing w:before="220"/>
        <w:ind w:firstLine="540"/>
        <w:jc w:val="both"/>
      </w:pPr>
      <w:r>
        <w:t>в) вопросов и предложений, адресованных высшему должностному лицу и органам исполнительной власти субъекта Российской Федерации.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right"/>
        <w:outlineLvl w:val="1"/>
      </w:pPr>
      <w:r>
        <w:t>Приложение</w:t>
      </w:r>
    </w:p>
    <w:p w:rsidR="00B86F9C" w:rsidRDefault="00B86F9C">
      <w:pPr>
        <w:pStyle w:val="ConsPlusNormal"/>
        <w:jc w:val="right"/>
      </w:pPr>
      <w:r>
        <w:t>к стандарту развития конкуренции</w:t>
      </w:r>
    </w:p>
    <w:p w:rsidR="00B86F9C" w:rsidRDefault="00B86F9C">
      <w:pPr>
        <w:pStyle w:val="ConsPlusNormal"/>
        <w:jc w:val="right"/>
      </w:pPr>
      <w:r>
        <w:t>в субъектах Российской Федерации</w:t>
      </w: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center"/>
      </w:pPr>
      <w:bookmarkStart w:id="5" w:name="P251"/>
      <w:bookmarkEnd w:id="5"/>
      <w:r>
        <w:t>ПЕРЕЧЕНЬ</w:t>
      </w:r>
    </w:p>
    <w:p w:rsidR="00B86F9C" w:rsidRDefault="00B86F9C">
      <w:pPr>
        <w:pStyle w:val="ConsPlusNormal"/>
        <w:jc w:val="center"/>
      </w:pPr>
      <w:r>
        <w:t>МЕРОПРИЯТИЙ ПО СОДЕЙСТВИЮ РАЗВИТИЮ КОНКУРЕНЦИИ</w:t>
      </w:r>
    </w:p>
    <w:p w:rsidR="00B86F9C" w:rsidRDefault="00B86F9C">
      <w:pPr>
        <w:pStyle w:val="ConsPlusNormal"/>
        <w:jc w:val="center"/>
      </w:pPr>
      <w:r>
        <w:t>И ПО РАЗВИТИЮ КОНКУРЕНТНОЙ СРЕДЫ СУБЪЕКТА</w:t>
      </w:r>
    </w:p>
    <w:p w:rsidR="00B86F9C" w:rsidRDefault="00B86F9C">
      <w:pPr>
        <w:pStyle w:val="ConsPlusNormal"/>
        <w:jc w:val="center"/>
      </w:pPr>
      <w:r>
        <w:t>РОССИЙСКОЙ ФЕДЕРАЦИИ</w:t>
      </w:r>
    </w:p>
    <w:p w:rsidR="00B86F9C" w:rsidRDefault="00B86F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6F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6F9C" w:rsidRDefault="00B86F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6F9C" w:rsidRDefault="00B86F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17.09.2016 N 1969-р)</w:t>
            </w:r>
          </w:p>
        </w:tc>
      </w:tr>
    </w:tbl>
    <w:p w:rsidR="00B86F9C" w:rsidRDefault="00B86F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628"/>
        <w:gridCol w:w="4866"/>
      </w:tblGrid>
      <w:tr w:rsidR="00B86F9C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F9C" w:rsidRDefault="00B86F9C">
            <w:pPr>
              <w:pStyle w:val="ConsPlusNormal"/>
              <w:jc w:val="center"/>
            </w:pPr>
            <w:r>
              <w:t>Цель мероприятия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F9C" w:rsidRDefault="00B86F9C">
            <w:pPr>
              <w:pStyle w:val="ConsPlusNormal"/>
              <w:jc w:val="center"/>
            </w:pPr>
            <w:r>
              <w:t>Целевые показатели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2"/>
            </w:pPr>
            <w:r>
              <w:lastRenderedPageBreak/>
              <w:t>I. Мероприятия по содействию развитию конкуренции на социально значимых рынках субъекта Российской Федерации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t>Рынок услуг дошкольного образования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Создание условий для развития конкуренции на рынке услуг дошкольного образования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развитие сектора частных дошкольных образовательных организаций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 (процентов)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t>Рынок услуг детского отдыха и оздоровления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Создание условий для развития конкуренции на рынке услуг отдыха и оздоровления детей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развитие сектора негосударственных (немуниципальных) организаций отдыха и оздоровления детей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численность детей в возрасте от 7 до 17 лет, проживающих на территории субъекта Российской Федерации,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оздоровления),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 пребыванием, палаточный лагерь, стационарно-оздоровительный лагерь труда и отдыха):</w:t>
            </w:r>
          </w:p>
          <w:p w:rsidR="00B86F9C" w:rsidRDefault="00B86F9C">
            <w:pPr>
              <w:pStyle w:val="ConsPlusNormal"/>
            </w:pPr>
            <w:r>
              <w:t>в 2015 году - 10 процентов;</w:t>
            </w:r>
          </w:p>
          <w:p w:rsidR="00B86F9C" w:rsidRDefault="00B86F9C">
            <w:pPr>
              <w:pStyle w:val="ConsPlusNormal"/>
            </w:pPr>
            <w:r>
              <w:t>в 2016 году - 15 процентов;</w:t>
            </w:r>
          </w:p>
          <w:p w:rsidR="00B86F9C" w:rsidRDefault="00B86F9C">
            <w:pPr>
              <w:pStyle w:val="ConsPlusNormal"/>
            </w:pPr>
            <w:r>
              <w:t>в 2017 году - 20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t>Рынок услуг дополнительного образования детей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Создание условий для развития конкуренции на рынке услуг дополнительного образования детей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увеличение численности детей и молодежи в возрасте от 5 до 18 лет, проживающих на территории субъекта Российской Федерации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программам, - на 2 процента ежегодно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lastRenderedPageBreak/>
              <w:t>Рынок медицинских услуг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Создание условий для развития конкуренции на рынке медицинских услуг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включение негосударственных (немуниципальных) медицинских организаций в реализацию территориальных программ обязательного медицинского страхования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страхования:</w:t>
            </w:r>
          </w:p>
          <w:p w:rsidR="00B86F9C" w:rsidRDefault="00B86F9C">
            <w:pPr>
              <w:pStyle w:val="ConsPlusNormal"/>
            </w:pPr>
            <w:r>
              <w:t>в 2015 году - не менее 6 процентов;</w:t>
            </w:r>
          </w:p>
          <w:p w:rsidR="00B86F9C" w:rsidRDefault="00B86F9C">
            <w:pPr>
              <w:pStyle w:val="ConsPlusNormal"/>
            </w:pPr>
            <w:r>
              <w:t>в 2016 году - не менее 7 процентов;</w:t>
            </w:r>
          </w:p>
          <w:p w:rsidR="00B86F9C" w:rsidRDefault="00B86F9C">
            <w:pPr>
              <w:pStyle w:val="ConsPlusNormal"/>
            </w:pPr>
            <w:r>
              <w:t>в 2017 году - не менее 8 процентов;</w:t>
            </w:r>
          </w:p>
          <w:p w:rsidR="00B86F9C" w:rsidRDefault="00B86F9C">
            <w:pPr>
              <w:pStyle w:val="ConsPlusNormal"/>
            </w:pPr>
            <w:r>
              <w:t>в 2018 году - не менее 10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Развитие сектора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лет), в общем количестве организаций, оказывающих услуги психолого-педагогического сопровождения детей с ограниченными возможностями здоровья с раннего возраста (процентов)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t>Рынок услуг в сфере культуры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Развитие сектора негосударственных (немуниципальных) организаций в сфере культуры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культуры:</w:t>
            </w:r>
          </w:p>
          <w:p w:rsidR="00B86F9C" w:rsidRDefault="00B86F9C">
            <w:pPr>
              <w:pStyle w:val="ConsPlusNormal"/>
            </w:pPr>
            <w:r>
              <w:t>в 2015 году - не менее 15 процентов;</w:t>
            </w:r>
          </w:p>
          <w:p w:rsidR="00B86F9C" w:rsidRDefault="00B86F9C">
            <w:pPr>
              <w:pStyle w:val="ConsPlusNormal"/>
              <w:jc w:val="both"/>
            </w:pPr>
            <w:r>
              <w:t>в 2016 году - не менее 20 процентов;</w:t>
            </w:r>
          </w:p>
          <w:p w:rsidR="00B86F9C" w:rsidRDefault="00B86F9C">
            <w:pPr>
              <w:pStyle w:val="ConsPlusNormal"/>
              <w:jc w:val="both"/>
            </w:pPr>
            <w:r>
              <w:t>в 2017 году - не менее 25 процентов;</w:t>
            </w:r>
          </w:p>
          <w:p w:rsidR="00B86F9C" w:rsidRDefault="00B86F9C">
            <w:pPr>
              <w:pStyle w:val="ConsPlusNormal"/>
              <w:jc w:val="both"/>
            </w:pPr>
            <w:r>
              <w:t>в 2018 году - не менее 30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t>Рынок услуг жилищно-коммунального хозяйства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Создание условий для развития конкуренции на рынке услуг жилищно-коммунального хозяйства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 xml:space="preserve">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многоквартирными </w:t>
            </w:r>
            <w:r>
              <w:lastRenderedPageBreak/>
              <w:t>домами на территории субъекта Российской Федерации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lastRenderedPageBreak/>
              <w:t>доля управляющих организаций, получивших лицензии на осуществление деятельности по управлению многоквартирными домами в 2015 году, - 100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повышение эффективности контроля за соблюдением жилищного законодательства в субъектах Российской Федерации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наличие у государственных жилищных инспекций в субъектах Российской Федерации к 1 ноября 2015 г. "горячей телефонной линии", а также электронной формы обратной связи в информационно-телекоммуникационной сети "Интернет" (с возможностью прикрепления файлов фото- и видеосъемки)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предприятий, осуществляющих неэффективное управление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управления, в 2018 году - 100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 xml:space="preserve">обеспечение информационной открытости отрасли жилищно-коммунального хозяйства Российской Федерации путем создания государственной информационной системы жилищно-коммунального хозяйства 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государственной информационной системе жилищно-коммунального хозяйства"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 к 1 июля 2016 г. - 100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обеспечение развития сферы жилищно-коммунального хозяйства субъектов Российской Федерации, предусматривающего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 xml:space="preserve">доля субъектов Российской Федерации, реализующих утвержденные комплексы мер по развитию жилищно-коммунального хозяйства субъектов Российской Федерации, предусматривающих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 в соответствии с </w:t>
            </w:r>
            <w:hyperlink r:id="rId21" w:history="1">
              <w:r>
                <w:rPr>
                  <w:color w:val="0000FF"/>
                </w:rPr>
                <w:t>пунктом 9.11 части 1 статьи 14</w:t>
              </w:r>
            </w:hyperlink>
            <w:r>
              <w:t xml:space="preserve"> Федерального закона "О Фонде содействия реформированию жилищно-коммунального хозяйства", в 2016 году - 100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t>Розничная торговля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Создание условий для развития конкуренции на рынке розничной торговли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обеспечение возможности осуществления розничной торговли на розничных рынках и ярмарках (в том числе посредством создания логистической инфраструктуры для организации торговли)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обеспечение в субъектах Российской Федерации, в которых доля оборота розничной торговли, осуществляемой на розничных рынках и ярмарках, в структуре оборота розничной торговли по формам торговли по итогам 2012 года составляла менее 20 процентов, среднего роста указанной доли оборота розничной торговли не менее чем на 5 процентов в год до достижения значения этого показателя в размере не менее 20 процентов к 2018 году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хозяйствующих субъектов в общем числе опрошенных, считающих, что состояние конкурентной среды в розничной торговле улучшилось за истекший год (процентов)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хозяйствующих субъектов в общем числе опрошенных, считающих, что антиконкурентных действий органов государственной власти и местного самоуправления в сфере розничной торговли стало меньше за истекший год (процентов)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обеспечение возможности населения покупать продукцию в магазинах шаговой доступности (магазинах у дома)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в муниципальных образованиях субъекта Российской Федерации к 2016 году - не менее 20 процентов общего оборота розничной торговли субъекта Российской Федерации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сокращение присутствия государства на рынке розничной торговли фармацевтической продукцией до необходимого для обеспечения законодательства в области контроля за распространением наркотических веществ минимума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в субъекте Российской Федерации к 2016 году - не менее 90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t>Рынок услуг перевозок пассажиров наземным транспортом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развитие сектора негосударственных перевозчиков на межмуниципальных маршрутах регулярных перевозок пассажиров наземным транспортом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 xml:space="preserve">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</w:t>
            </w:r>
            <w:r>
              <w:lastRenderedPageBreak/>
              <w:t>субъекте Российской Федерации к 2016 году - не менее 75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/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/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субъекте Российской Федерации к 2016 году - не менее 75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/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/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/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/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по межмуниципальным маршрутам регулярных перевозок пассажиров наземным транспортом в субъекте Российской Федерации к 2016 году - не менее 50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t>Рынок услуг связи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Создание условий для развития конкуренции на рынке услуг широкополосного доступа в информационно-телекоммуникационную сеть "Интернет"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"Интернет" на скорости не менее 1 Мбит/сек, предоставляемыми не менее чем 2 операторами связи, к 2016 году - не менее 60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3"/>
            </w:pPr>
            <w:r>
              <w:t>Рынок услуг социального обслуживания населения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Развитие конкуренции в сфере социального обслуживания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 (процентов)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jc w:val="center"/>
              <w:outlineLvl w:val="2"/>
            </w:pPr>
            <w:r>
              <w:t>II. Системные мероприятия по развитию конкурентной среды в субъекте Российской Федерации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 xml:space="preserve">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муниципального образования в которых составляет более 50 процентов, в том числе за счет расширения участия в указанных </w:t>
            </w:r>
            <w:r>
              <w:lastRenderedPageBreak/>
              <w:t>процедурах субъектов малого и среднего предпринимательства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lastRenderedPageBreak/>
              <w:t xml:space="preserve"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</w:t>
            </w:r>
            <w:r>
              <w:lastRenderedPageBreak/>
              <w:t xml:space="preserve">(соисполнителей) из числа субъектов малого и среднего предпринимательства) в общем годовом стоимостном объеме закупок, осуществляемых 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за 2016 год - не менее 18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к 2016 году - не менее 3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Совершенствование процессов управления объектами государственной собственности субъекта Российской Федерации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ограничение влияния государственных предприятий на конкуренцию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соотношение количества приватизированных в 2013 - 2018 годах имущественных комплексов государственных унитарных предприятий и общего количества государственных унитарных предприятий, осуществлявших деятельность в 2013 - 2018 годах, в субъекте Российской Федерации к 2018 году - не менее 75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соотношение числа хозяйственных обществ, акции (доли) которых были полностью приватизированы в 2013 - 2018 годах, и числа хозяйственных обществ с государственным участием в капитале, осуществлявших деятельность в 2013 - 2018 годах, в субъекте Российской Федерации к 2018 году - не менее 75 процентов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Создание условий для развития конкуренции на рынке строительства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  <w:ind w:left="284"/>
            </w:pPr>
            <w:r>
              <w:t>создание условий максимального благоприятствования хозяйствующим субъектам при входе на рынок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 xml:space="preserve">разработан и утвержден типовой административный регламент предоставления муниципальной услуги по выдаче разрешения на строительство и типовой административный регламент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в 2016 году на всей территории субъекта Российской Федерации, в рамках соответствующего соглашения или меморандума между органами исполнительной власти субъекта Российской Федерации и </w:t>
            </w:r>
            <w:r>
              <w:lastRenderedPageBreak/>
              <w:t>органами местного самоуправления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наличие в региональной практике проектов по передаче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</w:p>
          <w:p w:rsidR="00B86F9C" w:rsidRDefault="00B86F9C">
            <w:pPr>
              <w:pStyle w:val="ConsPlusNormal"/>
            </w:pPr>
            <w:r>
              <w:t>дошкольное образование;</w:t>
            </w:r>
          </w:p>
          <w:p w:rsidR="00B86F9C" w:rsidRDefault="00B86F9C">
            <w:pPr>
              <w:pStyle w:val="ConsPlusNormal"/>
            </w:pPr>
            <w:r>
              <w:t>детский отдых и оздоровление;</w:t>
            </w:r>
          </w:p>
          <w:p w:rsidR="00B86F9C" w:rsidRDefault="00B86F9C">
            <w:pPr>
              <w:pStyle w:val="ConsPlusNormal"/>
            </w:pPr>
            <w:r>
              <w:t>здравоохранение;</w:t>
            </w:r>
          </w:p>
          <w:p w:rsidR="00B86F9C" w:rsidRDefault="00B86F9C">
            <w:pPr>
              <w:pStyle w:val="ConsPlusNormal"/>
            </w:pPr>
            <w:r>
              <w:t>социальное обслуживание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наличие в региональной практике проектов с применением механизмов государственно-частного партнерства, в том числе посредством заключения концессионного соглашения, в одной или нескольких из следующих сфер:</w:t>
            </w:r>
          </w:p>
          <w:p w:rsidR="00B86F9C" w:rsidRDefault="00B86F9C">
            <w:pPr>
              <w:pStyle w:val="ConsPlusNormal"/>
            </w:pPr>
            <w:r>
              <w:t>детский отдых и оздоровление;</w:t>
            </w:r>
          </w:p>
          <w:p w:rsidR="00B86F9C" w:rsidRDefault="00B86F9C">
            <w:pPr>
              <w:pStyle w:val="ConsPlusNormal"/>
            </w:pPr>
            <w:r>
              <w:t>спорт;</w:t>
            </w:r>
          </w:p>
          <w:p w:rsidR="00B86F9C" w:rsidRDefault="00B86F9C">
            <w:pPr>
              <w:pStyle w:val="ConsPlusNormal"/>
            </w:pPr>
            <w:r>
              <w:t>здравоохранение;</w:t>
            </w:r>
          </w:p>
          <w:p w:rsidR="00B86F9C" w:rsidRDefault="00B86F9C">
            <w:pPr>
              <w:pStyle w:val="ConsPlusNormal"/>
            </w:pPr>
            <w:r>
              <w:t>социальное обслуживание;</w:t>
            </w:r>
          </w:p>
          <w:p w:rsidR="00B86F9C" w:rsidRDefault="00B86F9C">
            <w:pPr>
              <w:pStyle w:val="ConsPlusNormal"/>
            </w:pPr>
            <w:r>
              <w:t>дошкольное образование;</w:t>
            </w:r>
          </w:p>
          <w:p w:rsidR="00B86F9C" w:rsidRDefault="00B86F9C">
            <w:pPr>
              <w:pStyle w:val="ConsPlusNormal"/>
            </w:pPr>
            <w:r>
              <w:t>культура</w:t>
            </w:r>
          </w:p>
        </w:tc>
      </w:tr>
      <w:tr w:rsidR="00B86F9C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B86F9C" w:rsidRDefault="00B86F9C">
            <w:pPr>
              <w:pStyle w:val="ConsPlusNormal"/>
            </w:pPr>
            <w:r>
              <w:t>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</w:t>
            </w:r>
          </w:p>
        </w:tc>
      </w:tr>
    </w:tbl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jc w:val="both"/>
      </w:pPr>
    </w:p>
    <w:p w:rsidR="00B86F9C" w:rsidRDefault="00B86F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6DA" w:rsidRDefault="008416DA">
      <w:bookmarkStart w:id="6" w:name="_GoBack"/>
      <w:bookmarkEnd w:id="6"/>
    </w:p>
    <w:sectPr w:rsidR="008416DA" w:rsidSect="00A5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9C"/>
    <w:rsid w:val="008416DA"/>
    <w:rsid w:val="00B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27803-3FC1-4CC1-B30C-70BAAB3F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F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F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6F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5DDFA66DD9418ABB14A08CAF975644CF43779DC1A13E54E7E660F5DAE131A4D0A7F754140D384kCtBF" TargetMode="External"/><Relationship Id="rId13" Type="http://schemas.openxmlformats.org/officeDocument/2006/relationships/hyperlink" Target="consultantplus://offline/ref=F595DDFA66DD9418ABB14A08CAF975644FFE3E79DB1113E54E7E660F5DAE131A4D0A7F7744k4t2F" TargetMode="External"/><Relationship Id="rId18" Type="http://schemas.openxmlformats.org/officeDocument/2006/relationships/hyperlink" Target="consultantplus://offline/ref=F595DDFA66DD9418ABB15413DFF975644FFC3B7FDE1E13E54E7E660F5DAE131A4D0A7F754140D18DkCtE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595DDFA66DD9418ABB14A08CAF975644FF43E7AD11013E54E7E660F5DAE131A4D0A7F754140D78BkCtAF" TargetMode="External"/><Relationship Id="rId7" Type="http://schemas.openxmlformats.org/officeDocument/2006/relationships/hyperlink" Target="consultantplus://offline/ref=F595DDFA66DD9418ABB14A08CAF975644FFC3B75DA1113E54E7E660F5DAE131A4D0A7F754140D18CkCtEF" TargetMode="External"/><Relationship Id="rId12" Type="http://schemas.openxmlformats.org/officeDocument/2006/relationships/hyperlink" Target="consultantplus://offline/ref=F595DDFA66DD9418ABB14A08CAF975644FFC3B75DA1113E54E7E660F5DAE131A4D0A7F754140D18DkCtFF" TargetMode="External"/><Relationship Id="rId17" Type="http://schemas.openxmlformats.org/officeDocument/2006/relationships/hyperlink" Target="consultantplus://offline/ref=F595DDFA66DD9418ABB14A08CAF975644FFC3B75DA1113E54E7E660F5DAE131A4D0A7F754140D18DkCt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95DDFA66DD9418ABB14A08CAF975644FF43B79DF1A13E54E7E660F5DkAtEF" TargetMode="External"/><Relationship Id="rId20" Type="http://schemas.openxmlformats.org/officeDocument/2006/relationships/hyperlink" Target="consultantplus://offline/ref=F595DDFA66DD9418ABB14A08CAF975644FFC3675DA1113E54E7E660F5DkAt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95DDFA66DD9418ABB14A08CAF975644FFC3B75DA1113E54E7E660F5DAE131A4D0A7F754140D18CkCtBF" TargetMode="External"/><Relationship Id="rId11" Type="http://schemas.openxmlformats.org/officeDocument/2006/relationships/hyperlink" Target="consultantplus://offline/ref=F595DDFA66DD9418ABB14A08CAF975644FFC3B75DA1113E54E7E660F5DAE131A4D0A7F754140D18DkCtF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F595DDFA66DD9418ABB14A08CAF975644FFC3B75DA1113E54E7E660F5DAE131A4D0A7F754140D18CkCtEF" TargetMode="External"/><Relationship Id="rId15" Type="http://schemas.openxmlformats.org/officeDocument/2006/relationships/hyperlink" Target="consultantplus://offline/ref=F595DDFA66DD9418ABB14A08CAF975644FF43E75D91A13E54E7E660F5DkAtE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595DDFA66DD9418ABB14A08CAF975644FFC3B75DA1113E54E7E660F5DAE131A4D0A7F754140D18DkCtDF" TargetMode="External"/><Relationship Id="rId19" Type="http://schemas.openxmlformats.org/officeDocument/2006/relationships/hyperlink" Target="consultantplus://offline/ref=F595DDFA66DD9418ABB14A08CAF975644FFC3B75DA1113E54E7E660F5DAE131A4D0A7F754140D18DkCt9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595DDFA66DD9418ABB14A08CAF975644CF53E7EDC1C13E54E7E660F5DkAtEF" TargetMode="External"/><Relationship Id="rId14" Type="http://schemas.openxmlformats.org/officeDocument/2006/relationships/hyperlink" Target="consultantplus://offline/ref=F595DDFA66DD9418ABB14A08CAF975644FFE3E79DB1113E54E7E660F5DAE131A4D0A7F754140D089kCtEF" TargetMode="External"/><Relationship Id="rId22" Type="http://schemas.openxmlformats.org/officeDocument/2006/relationships/hyperlink" Target="consultantplus://offline/ref=F595DDFA66DD9418ABB14A08CAF975644FFD3875D11A13E54E7E660F5DkAt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9995</Words>
  <Characters>56977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1</cp:revision>
  <dcterms:created xsi:type="dcterms:W3CDTF">2017-12-21T05:45:00Z</dcterms:created>
  <dcterms:modified xsi:type="dcterms:W3CDTF">2017-12-21T05:47:00Z</dcterms:modified>
</cp:coreProperties>
</file>