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9A" w:rsidRPr="00FD4B3D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AA409A" w:rsidRPr="00F960C9" w:rsidRDefault="00AA409A" w:rsidP="00F960C9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обращений граждан, организаций, общественных объединений, адресованных в администрацию городского округа Верхняя Пышма, в сельские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 результатов рассмотрения и принятых мер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0B052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527">
        <w:rPr>
          <w:rFonts w:ascii="Times New Roman" w:hAnsi="Times New Roman" w:cs="Times New Roman"/>
          <w:b/>
          <w:bCs/>
          <w:sz w:val="28"/>
          <w:szCs w:val="28"/>
        </w:rPr>
        <w:t>месяцев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2016 года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AD30CE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52" w:type="dxa"/>
        <w:tblInd w:w="-280" w:type="dxa"/>
        <w:tblLayout w:type="fixed"/>
        <w:tblLook w:val="00A0" w:firstRow="1" w:lastRow="0" w:firstColumn="1" w:lastColumn="0" w:noHBand="0" w:noVBand="0"/>
      </w:tblPr>
      <w:tblGrid>
        <w:gridCol w:w="329"/>
        <w:gridCol w:w="9131"/>
        <w:gridCol w:w="1446"/>
        <w:gridCol w:w="1447"/>
        <w:gridCol w:w="976"/>
        <w:gridCol w:w="2423"/>
      </w:tblGrid>
      <w:tr w:rsidR="006C3172" w:rsidRPr="001564B2" w:rsidTr="00F960C9">
        <w:trPr>
          <w:trHeight w:val="375"/>
        </w:trPr>
        <w:tc>
          <w:tcPr>
            <w:tcW w:w="157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30CE" w:rsidRDefault="006C3172" w:rsidP="00F960C9">
            <w:pPr>
              <w:spacing w:after="0" w:line="240" w:lineRule="auto"/>
              <w:ind w:right="-143" w:firstLine="56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об общем количестве обращений, поступивших в форме </w:t>
            </w:r>
          </w:p>
          <w:p w:rsidR="006C3172" w:rsidRPr="00AD30CE" w:rsidRDefault="006C3172" w:rsidP="00AD30CE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 документа, в письменной форме и в устной форме</w:t>
            </w: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9206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417"/>
              <w:gridCol w:w="2265"/>
              <w:gridCol w:w="1701"/>
            </w:tblGrid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обращений в форме</w:t>
                  </w:r>
                </w:p>
              </w:tc>
              <w:tc>
                <w:tcPr>
                  <w:tcW w:w="1418" w:type="dxa"/>
                </w:tcPr>
                <w:p w:rsidR="008B1DB8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9 </w:t>
                  </w:r>
                </w:p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месяцев</w:t>
                  </w:r>
                  <w:r w:rsidR="00790E99"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2016 </w:t>
                  </w:r>
                </w:p>
              </w:tc>
              <w:tc>
                <w:tcPr>
                  <w:tcW w:w="1417" w:type="dxa"/>
                </w:tcPr>
                <w:p w:rsidR="008B1DB8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  <w:r w:rsidR="00790E99"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90E99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месяцев</w:t>
                  </w:r>
                </w:p>
                <w:p w:rsidR="006C3172" w:rsidRPr="00AD30CE" w:rsidRDefault="00AD30CE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2015 </w:t>
                  </w:r>
                </w:p>
              </w:tc>
              <w:tc>
                <w:tcPr>
                  <w:tcW w:w="226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Сравнение</w:t>
                  </w:r>
                </w:p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(количество)</w:t>
                  </w:r>
                </w:p>
              </w:tc>
              <w:tc>
                <w:tcPr>
                  <w:tcW w:w="1701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Сравнение</w:t>
                  </w:r>
                </w:p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(%)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электронного документа</w:t>
                  </w:r>
                </w:p>
              </w:tc>
              <w:tc>
                <w:tcPr>
                  <w:tcW w:w="1418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473</w:t>
                  </w:r>
                </w:p>
              </w:tc>
              <w:tc>
                <w:tcPr>
                  <w:tcW w:w="1417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440</w:t>
                  </w:r>
                </w:p>
              </w:tc>
              <w:tc>
                <w:tcPr>
                  <w:tcW w:w="2265" w:type="dxa"/>
                </w:tcPr>
                <w:p w:rsidR="00790E99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+33</w:t>
                  </w:r>
                </w:p>
              </w:tc>
              <w:tc>
                <w:tcPr>
                  <w:tcW w:w="1701" w:type="dxa"/>
                </w:tcPr>
                <w:p w:rsidR="00790E99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+7,5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письменной форме</w:t>
                  </w:r>
                </w:p>
              </w:tc>
              <w:tc>
                <w:tcPr>
                  <w:tcW w:w="1418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629</w:t>
                  </w:r>
                </w:p>
              </w:tc>
              <w:tc>
                <w:tcPr>
                  <w:tcW w:w="1417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382</w:t>
                  </w:r>
                </w:p>
              </w:tc>
              <w:tc>
                <w:tcPr>
                  <w:tcW w:w="2265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+247</w:t>
                  </w:r>
                </w:p>
              </w:tc>
              <w:tc>
                <w:tcPr>
                  <w:tcW w:w="1701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+64,7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устной форме</w:t>
                  </w:r>
                </w:p>
              </w:tc>
              <w:tc>
                <w:tcPr>
                  <w:tcW w:w="1418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221</w:t>
                  </w:r>
                </w:p>
              </w:tc>
              <w:tc>
                <w:tcPr>
                  <w:tcW w:w="1417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354</w:t>
                  </w:r>
                </w:p>
              </w:tc>
              <w:tc>
                <w:tcPr>
                  <w:tcW w:w="2265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-133</w:t>
                  </w:r>
                </w:p>
              </w:tc>
              <w:tc>
                <w:tcPr>
                  <w:tcW w:w="1701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-37,6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  <w:r w:rsidR="00075D0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1176</w:t>
                  </w:r>
                </w:p>
              </w:tc>
              <w:tc>
                <w:tcPr>
                  <w:tcW w:w="2265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+147</w:t>
                  </w:r>
                </w:p>
              </w:tc>
              <w:tc>
                <w:tcPr>
                  <w:tcW w:w="1701" w:type="dxa"/>
                </w:tcPr>
                <w:p w:rsidR="006C3172" w:rsidRPr="00AD30CE" w:rsidRDefault="008B1DB8" w:rsidP="00C80A9E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-12,5</w:t>
                  </w:r>
                </w:p>
              </w:tc>
            </w:tr>
          </w:tbl>
          <w:p w:rsidR="006C3172" w:rsidRPr="00FD448D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172" w:rsidRPr="001564B2" w:rsidTr="00F960C9">
        <w:trPr>
          <w:gridBefore w:val="1"/>
          <w:gridAfter w:val="1"/>
          <w:wBefore w:w="329" w:type="dxa"/>
          <w:wAfter w:w="242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F960C9">
        <w:trPr>
          <w:gridBefore w:val="1"/>
          <w:gridAfter w:val="1"/>
          <w:wBefore w:w="329" w:type="dxa"/>
          <w:wAfter w:w="242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5878F2" wp14:editId="6924D48C">
                  <wp:extent cx="4572000" cy="2743200"/>
                  <wp:effectExtent l="0" t="0" r="19050" b="1905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8B1DB8">
            <w:pPr>
              <w:spacing w:after="0" w:line="240" w:lineRule="auto"/>
              <w:ind w:right="-143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8B1DB8" w:rsidRDefault="008B1DB8" w:rsidP="006C3172">
            <w:pPr>
              <w:spacing w:after="0" w:line="240" w:lineRule="auto"/>
              <w:ind w:left="-675" w:right="-143" w:firstLine="709"/>
              <w:rPr>
                <w:noProof/>
                <w:lang w:eastAsia="ru-RU"/>
              </w:rPr>
            </w:pPr>
          </w:p>
          <w:p w:rsidR="006C3172" w:rsidRDefault="006C3172" w:rsidP="00F960C9">
            <w:pPr>
              <w:spacing w:after="0" w:line="240" w:lineRule="auto"/>
              <w:ind w:right="-143"/>
              <w:rPr>
                <w:noProof/>
                <w:lang w:eastAsia="ru-RU"/>
              </w:rPr>
            </w:pPr>
          </w:p>
          <w:p w:rsidR="00F960C9" w:rsidRPr="00FD448D" w:rsidRDefault="00F960C9" w:rsidP="00F960C9">
            <w:pPr>
              <w:spacing w:after="0" w:line="240" w:lineRule="auto"/>
              <w:ind w:right="-143"/>
              <w:rPr>
                <w:color w:val="00000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F960C9">
        <w:trPr>
          <w:gridBefore w:val="1"/>
          <w:gridAfter w:val="1"/>
          <w:wBefore w:w="329" w:type="dxa"/>
          <w:wAfter w:w="242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409A" w:rsidRDefault="00AA409A" w:rsidP="00F960C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тематиче</w:t>
      </w:r>
      <w:r w:rsidR="006C3172">
        <w:rPr>
          <w:rFonts w:ascii="Times New Roman" w:hAnsi="Times New Roman" w:cs="Times New Roman"/>
          <w:sz w:val="28"/>
          <w:szCs w:val="28"/>
        </w:rPr>
        <w:t>ским разделам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5"/>
        <w:gridCol w:w="1784"/>
        <w:gridCol w:w="1701"/>
        <w:gridCol w:w="1858"/>
        <w:gridCol w:w="1509"/>
      </w:tblGrid>
      <w:tr w:rsidR="006C3172" w:rsidRPr="001564B2" w:rsidTr="00DA345E">
        <w:tc>
          <w:tcPr>
            <w:tcW w:w="2825" w:type="dxa"/>
          </w:tcPr>
          <w:p w:rsidR="006C3172" w:rsidRPr="001564B2" w:rsidRDefault="006C3172" w:rsidP="00E26D4B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</w:tcPr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84328A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3172"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="006C3172"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</w:tc>
        <w:tc>
          <w:tcPr>
            <w:tcW w:w="1701" w:type="dxa"/>
          </w:tcPr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4328A" w:rsidRDefault="0084328A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858" w:type="dxa"/>
          </w:tcPr>
          <w:p w:rsidR="006C317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58" w:type="dxa"/>
          </w:tcPr>
          <w:p w:rsidR="006C3172" w:rsidRPr="001564B2" w:rsidRDefault="0084328A" w:rsidP="00032F0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1509" w:type="dxa"/>
          </w:tcPr>
          <w:p w:rsidR="006C3172" w:rsidRPr="001564B2" w:rsidRDefault="0084328A" w:rsidP="00B6630B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58" w:type="dxa"/>
          </w:tcPr>
          <w:p w:rsidR="006C3172" w:rsidRPr="001564B2" w:rsidRDefault="0084328A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509" w:type="dxa"/>
          </w:tcPr>
          <w:p w:rsidR="006C3172" w:rsidRPr="001564B2" w:rsidRDefault="0084328A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-7,5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1858" w:type="dxa"/>
          </w:tcPr>
          <w:p w:rsidR="006C3172" w:rsidRPr="001564B2" w:rsidRDefault="0084328A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+236</w:t>
            </w:r>
          </w:p>
        </w:tc>
        <w:tc>
          <w:tcPr>
            <w:tcW w:w="1509" w:type="dxa"/>
          </w:tcPr>
          <w:p w:rsidR="006C3172" w:rsidRPr="001564B2" w:rsidRDefault="0084328A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+50,9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8" w:type="dxa"/>
          </w:tcPr>
          <w:p w:rsidR="006C3172" w:rsidRPr="001564B2" w:rsidRDefault="0084328A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09" w:type="dxa"/>
          </w:tcPr>
          <w:p w:rsidR="006C3172" w:rsidRPr="001564B2" w:rsidRDefault="0084328A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+500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1858" w:type="dxa"/>
          </w:tcPr>
          <w:p w:rsidR="006C3172" w:rsidRPr="001564B2" w:rsidRDefault="006478C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-65</w:t>
            </w:r>
          </w:p>
        </w:tc>
        <w:tc>
          <w:tcPr>
            <w:tcW w:w="1509" w:type="dxa"/>
          </w:tcPr>
          <w:p w:rsidR="006C3172" w:rsidRPr="001564B2" w:rsidRDefault="006478C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-12,2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1333</w:t>
            </w:r>
          </w:p>
        </w:tc>
        <w:tc>
          <w:tcPr>
            <w:tcW w:w="1701" w:type="dxa"/>
          </w:tcPr>
          <w:p w:rsidR="006C3172" w:rsidRPr="001564B2" w:rsidRDefault="0084328A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1176</w:t>
            </w:r>
          </w:p>
        </w:tc>
        <w:tc>
          <w:tcPr>
            <w:tcW w:w="1858" w:type="dxa"/>
          </w:tcPr>
          <w:p w:rsidR="006C3172" w:rsidRPr="001564B2" w:rsidRDefault="006478C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+156</w:t>
            </w:r>
          </w:p>
        </w:tc>
        <w:tc>
          <w:tcPr>
            <w:tcW w:w="1509" w:type="dxa"/>
          </w:tcPr>
          <w:p w:rsidR="006C3172" w:rsidRPr="001564B2" w:rsidRDefault="006478C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+13,4</w:t>
            </w:r>
          </w:p>
        </w:tc>
      </w:tr>
    </w:tbl>
    <w:p w:rsidR="001F30B3" w:rsidRDefault="001F30B3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B6630B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</w:t>
      </w:r>
      <w:r w:rsidR="0084328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-ти</w:t>
      </w:r>
      <w:r w:rsidR="003E39F7">
        <w:rPr>
          <w:rFonts w:ascii="Times New Roman" w:hAnsi="Times New Roman" w:cs="Times New Roman"/>
          <w:sz w:val="28"/>
          <w:szCs w:val="28"/>
        </w:rPr>
        <w:t xml:space="preserve"> обращениях приняты к рассмотрению вопросы по различной тематике.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075D0A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95BA53E" wp14:editId="54BCCB1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97DBF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0C9" w:rsidRDefault="00F960C9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по разновидностям </w:t>
      </w:r>
      <w:r w:rsidR="001A2C08"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977"/>
      </w:tblGrid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977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977" w:type="dxa"/>
          </w:tcPr>
          <w:p w:rsidR="007C1EE6" w:rsidRPr="001564B2" w:rsidRDefault="004125A3" w:rsidP="007C1EE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AA409A" w:rsidRPr="001564B2" w:rsidRDefault="004125A3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1323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1A2C08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  <w:r w:rsidR="00AA409A">
        <w:rPr>
          <w:rFonts w:ascii="Times New Roman" w:hAnsi="Times New Roman" w:cs="Times New Roman"/>
          <w:sz w:val="28"/>
          <w:szCs w:val="28"/>
        </w:rPr>
        <w:t xml:space="preserve"> градация по разновидности обращений не велась.</w:t>
      </w:r>
    </w:p>
    <w:p w:rsidR="00244323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323" w:rsidRDefault="004125A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B6085B" wp14:editId="441F95DF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25A3" w:rsidRDefault="004125A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97DBF" w:rsidP="00C80A9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97DBF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97DBF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</w:t>
      </w:r>
      <w:r w:rsidR="00B01759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701"/>
        <w:gridCol w:w="1701"/>
        <w:gridCol w:w="1701"/>
        <w:gridCol w:w="1417"/>
      </w:tblGrid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01" w:type="dxa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7A0089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</w:tc>
        <w:tc>
          <w:tcPr>
            <w:tcW w:w="1701" w:type="dxa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7A0089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2015 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701" w:type="dxa"/>
          </w:tcPr>
          <w:p w:rsidR="00561F31" w:rsidRPr="001564B2" w:rsidRDefault="007A0089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7A0089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417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701" w:type="dxa"/>
          </w:tcPr>
          <w:p w:rsidR="00561F31" w:rsidRPr="001564B2" w:rsidRDefault="007A0089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701" w:type="dxa"/>
          </w:tcPr>
          <w:p w:rsidR="00561F31" w:rsidRPr="001564B2" w:rsidRDefault="007A0089" w:rsidP="004A120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701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1417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-8,2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Поддержано </w:t>
            </w:r>
          </w:p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701" w:type="dxa"/>
          </w:tcPr>
          <w:p w:rsidR="00561F31" w:rsidRPr="001564B2" w:rsidRDefault="007A0089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-130</w:t>
            </w:r>
          </w:p>
        </w:tc>
        <w:tc>
          <w:tcPr>
            <w:tcW w:w="1417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-46,4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1701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1417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-1,6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1323</w:t>
            </w:r>
          </w:p>
        </w:tc>
        <w:tc>
          <w:tcPr>
            <w:tcW w:w="1701" w:type="dxa"/>
          </w:tcPr>
          <w:p w:rsidR="00561F31" w:rsidRPr="001564B2" w:rsidRDefault="007A0089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1176</w:t>
            </w:r>
          </w:p>
        </w:tc>
        <w:tc>
          <w:tcPr>
            <w:tcW w:w="1701" w:type="dxa"/>
          </w:tcPr>
          <w:p w:rsidR="00561F31" w:rsidRPr="001564B2" w:rsidRDefault="007A008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1417" w:type="dxa"/>
          </w:tcPr>
          <w:p w:rsidR="00561F31" w:rsidRPr="001564B2" w:rsidRDefault="001140C7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+12,5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974C4" w:rsidRDefault="00E974C4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E974C4" w:rsidSect="001F30B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по тематическим разделам и результатам рассмотрения обращений </w:t>
      </w:r>
      <w:r w:rsidR="00E22AC9">
        <w:rPr>
          <w:rFonts w:ascii="Times New Roman" w:hAnsi="Times New Roman" w:cs="Times New Roman"/>
          <w:sz w:val="28"/>
          <w:szCs w:val="28"/>
        </w:rPr>
        <w:t>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345"/>
        <w:gridCol w:w="1297"/>
        <w:gridCol w:w="1314"/>
        <w:gridCol w:w="1314"/>
        <w:gridCol w:w="1393"/>
        <w:gridCol w:w="1417"/>
        <w:gridCol w:w="1418"/>
        <w:gridCol w:w="1276"/>
        <w:gridCol w:w="1275"/>
        <w:gridCol w:w="1276"/>
      </w:tblGrid>
      <w:tr w:rsidR="004A1202" w:rsidRPr="001564B2" w:rsidTr="0059437D">
        <w:tc>
          <w:tcPr>
            <w:tcW w:w="1985" w:type="dxa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2642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628" w:type="dxa"/>
            <w:gridSpan w:val="2"/>
          </w:tcPr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2810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694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2551" w:type="dxa"/>
            <w:gridSpan w:val="2"/>
          </w:tcPr>
          <w:p w:rsidR="004A1202" w:rsidRPr="00E22AC9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A1202" w:rsidRPr="001564B2" w:rsidTr="0059437D">
        <w:tc>
          <w:tcPr>
            <w:tcW w:w="1985" w:type="dxa"/>
          </w:tcPr>
          <w:p w:rsidR="004A1202" w:rsidRPr="001564B2" w:rsidRDefault="004A1202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4A1202" w:rsidRDefault="001140C7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1202" w:rsidRPr="001564B2" w:rsidRDefault="001140C7" w:rsidP="00362A84">
            <w:pPr>
              <w:spacing w:after="0" w:line="240" w:lineRule="auto"/>
              <w:ind w:right="-143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A1202" w:rsidRPr="001564B2" w:rsidRDefault="001140C7" w:rsidP="00362A84">
            <w:pPr>
              <w:spacing w:after="0" w:line="240" w:lineRule="auto"/>
              <w:ind w:left="-108" w:right="-143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120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</w:tcPr>
          <w:p w:rsidR="004A1202" w:rsidRDefault="00197DBF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1202" w:rsidRPr="001564B2" w:rsidRDefault="00197DBF" w:rsidP="003E12D1">
            <w:pPr>
              <w:spacing w:after="0" w:line="240" w:lineRule="auto"/>
              <w:ind w:right="-143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14" w:type="dxa"/>
          </w:tcPr>
          <w:p w:rsidR="00197DBF" w:rsidRDefault="00197DBF" w:rsidP="003E12D1">
            <w:pPr>
              <w:spacing w:after="0" w:line="240" w:lineRule="auto"/>
              <w:ind w:left="-108" w:right="-143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4A1202" w:rsidRPr="001564B2" w:rsidRDefault="00197DBF" w:rsidP="003E12D1">
            <w:pPr>
              <w:spacing w:after="0" w:line="240" w:lineRule="auto"/>
              <w:ind w:left="-108" w:right="-143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4A120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120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120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B16AF" w:rsidRPr="001564B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120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6B16AF" w:rsidRPr="001564B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1202" w:rsidRDefault="006B16A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1202" w:rsidRPr="001564B2" w:rsidRDefault="006B16AF" w:rsidP="00362A84">
            <w:pPr>
              <w:spacing w:after="0" w:line="240" w:lineRule="auto"/>
              <w:ind w:left="-10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1202" w:rsidRDefault="006B16AF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6B16AF" w:rsidRPr="001564B2" w:rsidRDefault="006B16AF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1202" w:rsidRDefault="006B16AF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1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202" w:rsidRPr="001564B2" w:rsidRDefault="006B16AF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  <w:p w:rsidR="004A1202" w:rsidRPr="001564B2" w:rsidRDefault="004A1202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, общество, политика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4" w:type="dxa"/>
          </w:tcPr>
          <w:p w:rsidR="007359DA" w:rsidRDefault="007359DA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EF734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4" w:type="dxa"/>
          </w:tcPr>
          <w:p w:rsidR="007359DA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EF734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15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14" w:type="dxa"/>
          </w:tcPr>
          <w:p w:rsidR="007359DA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59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EF734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359DA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314" w:type="dxa"/>
          </w:tcPr>
          <w:p w:rsidR="007359DA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EF734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11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1314" w:type="dxa"/>
          </w:tcPr>
          <w:p w:rsidR="007359DA" w:rsidRDefault="007359DA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1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4115B1" w:rsidP="00EF734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F7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EF734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1142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4C4" w:rsidRDefault="004A1202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  <w:sectPr w:rsidR="00E974C4" w:rsidSect="00E974C4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*1</w:t>
      </w:r>
      <w:r w:rsidR="001140C7">
        <w:rPr>
          <w:rFonts w:ascii="Times New Roman" w:hAnsi="Times New Roman" w:cs="Times New Roman"/>
          <w:sz w:val="28"/>
          <w:szCs w:val="28"/>
        </w:rPr>
        <w:t>87 обращений</w:t>
      </w:r>
      <w:r w:rsidR="00C80A9E">
        <w:rPr>
          <w:rFonts w:ascii="Times New Roman" w:hAnsi="Times New Roman" w:cs="Times New Roman"/>
          <w:sz w:val="28"/>
          <w:szCs w:val="28"/>
        </w:rPr>
        <w:t xml:space="preserve"> находится на рассмотрении</w:t>
      </w:r>
      <w:bookmarkStart w:id="0" w:name="_GoBack"/>
      <w:bookmarkEnd w:id="0"/>
    </w:p>
    <w:p w:rsidR="00AA409A" w:rsidRPr="00FD4B3D" w:rsidRDefault="00AA409A" w:rsidP="00C80A9E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AA409A" w:rsidRPr="00FD4B3D" w:rsidSect="001F30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E"/>
    <w:rsid w:val="00032F01"/>
    <w:rsid w:val="0004521B"/>
    <w:rsid w:val="000701A0"/>
    <w:rsid w:val="00075D0A"/>
    <w:rsid w:val="000B0527"/>
    <w:rsid w:val="000B6192"/>
    <w:rsid w:val="000C06C1"/>
    <w:rsid w:val="000D7A1F"/>
    <w:rsid w:val="000E76D9"/>
    <w:rsid w:val="00106BDE"/>
    <w:rsid w:val="001140C7"/>
    <w:rsid w:val="001564B2"/>
    <w:rsid w:val="001575A6"/>
    <w:rsid w:val="00197DBF"/>
    <w:rsid w:val="001A2C08"/>
    <w:rsid w:val="001C116C"/>
    <w:rsid w:val="001C18E2"/>
    <w:rsid w:val="001D4F85"/>
    <w:rsid w:val="001D7987"/>
    <w:rsid w:val="001D7E41"/>
    <w:rsid w:val="001F30B3"/>
    <w:rsid w:val="00212E93"/>
    <w:rsid w:val="002249A0"/>
    <w:rsid w:val="00240E4E"/>
    <w:rsid w:val="00244323"/>
    <w:rsid w:val="00283203"/>
    <w:rsid w:val="00295A2F"/>
    <w:rsid w:val="002C10D8"/>
    <w:rsid w:val="002E54F3"/>
    <w:rsid w:val="00362A84"/>
    <w:rsid w:val="00376A9C"/>
    <w:rsid w:val="0037743E"/>
    <w:rsid w:val="003864B8"/>
    <w:rsid w:val="003A2B74"/>
    <w:rsid w:val="003B5AEB"/>
    <w:rsid w:val="003D36BE"/>
    <w:rsid w:val="003D5C3C"/>
    <w:rsid w:val="003E39F7"/>
    <w:rsid w:val="00404393"/>
    <w:rsid w:val="004115B1"/>
    <w:rsid w:val="004125A3"/>
    <w:rsid w:val="00437C22"/>
    <w:rsid w:val="00437D80"/>
    <w:rsid w:val="00466C37"/>
    <w:rsid w:val="004A1202"/>
    <w:rsid w:val="004A1FC0"/>
    <w:rsid w:val="004B7A82"/>
    <w:rsid w:val="004C22ED"/>
    <w:rsid w:val="004E1561"/>
    <w:rsid w:val="00507800"/>
    <w:rsid w:val="00533C2C"/>
    <w:rsid w:val="00561F31"/>
    <w:rsid w:val="0059437D"/>
    <w:rsid w:val="005D5CB8"/>
    <w:rsid w:val="005F2D73"/>
    <w:rsid w:val="006054A1"/>
    <w:rsid w:val="00645E42"/>
    <w:rsid w:val="006478CB"/>
    <w:rsid w:val="00650F4A"/>
    <w:rsid w:val="00652D32"/>
    <w:rsid w:val="006548C9"/>
    <w:rsid w:val="00655C9E"/>
    <w:rsid w:val="0067561E"/>
    <w:rsid w:val="0068081A"/>
    <w:rsid w:val="006B16AF"/>
    <w:rsid w:val="006C3172"/>
    <w:rsid w:val="007266C8"/>
    <w:rsid w:val="007272ED"/>
    <w:rsid w:val="007359DA"/>
    <w:rsid w:val="00757A4A"/>
    <w:rsid w:val="00762D2F"/>
    <w:rsid w:val="00784BA0"/>
    <w:rsid w:val="00787306"/>
    <w:rsid w:val="00790E99"/>
    <w:rsid w:val="007A0089"/>
    <w:rsid w:val="007A2D30"/>
    <w:rsid w:val="007A64E6"/>
    <w:rsid w:val="007C1EE6"/>
    <w:rsid w:val="007D6CD2"/>
    <w:rsid w:val="007D7BD1"/>
    <w:rsid w:val="007E4FC6"/>
    <w:rsid w:val="008010FD"/>
    <w:rsid w:val="00805C23"/>
    <w:rsid w:val="0081690B"/>
    <w:rsid w:val="00821A9D"/>
    <w:rsid w:val="008413F0"/>
    <w:rsid w:val="0084328A"/>
    <w:rsid w:val="00854D8F"/>
    <w:rsid w:val="008900D7"/>
    <w:rsid w:val="00892940"/>
    <w:rsid w:val="00892FD7"/>
    <w:rsid w:val="008A2E85"/>
    <w:rsid w:val="008A6BCD"/>
    <w:rsid w:val="008B1DB8"/>
    <w:rsid w:val="008E3043"/>
    <w:rsid w:val="008E7458"/>
    <w:rsid w:val="008F325E"/>
    <w:rsid w:val="00936B6B"/>
    <w:rsid w:val="00950B1D"/>
    <w:rsid w:val="009550C2"/>
    <w:rsid w:val="00963355"/>
    <w:rsid w:val="009B1CD1"/>
    <w:rsid w:val="009B4E73"/>
    <w:rsid w:val="009C174B"/>
    <w:rsid w:val="009C3CC1"/>
    <w:rsid w:val="009C5D76"/>
    <w:rsid w:val="009E6C03"/>
    <w:rsid w:val="009F4C5C"/>
    <w:rsid w:val="00A030B7"/>
    <w:rsid w:val="00A266D1"/>
    <w:rsid w:val="00A32AFD"/>
    <w:rsid w:val="00A95F52"/>
    <w:rsid w:val="00AA409A"/>
    <w:rsid w:val="00AD30CE"/>
    <w:rsid w:val="00AD353E"/>
    <w:rsid w:val="00B003C6"/>
    <w:rsid w:val="00B01759"/>
    <w:rsid w:val="00B10D1D"/>
    <w:rsid w:val="00B22779"/>
    <w:rsid w:val="00B6630B"/>
    <w:rsid w:val="00BB423F"/>
    <w:rsid w:val="00BB53A8"/>
    <w:rsid w:val="00BD5904"/>
    <w:rsid w:val="00BE0FA6"/>
    <w:rsid w:val="00C40524"/>
    <w:rsid w:val="00C61E4D"/>
    <w:rsid w:val="00C80A9E"/>
    <w:rsid w:val="00CB4DF1"/>
    <w:rsid w:val="00CD21FC"/>
    <w:rsid w:val="00D01718"/>
    <w:rsid w:val="00D22067"/>
    <w:rsid w:val="00D37D48"/>
    <w:rsid w:val="00D37F54"/>
    <w:rsid w:val="00D51585"/>
    <w:rsid w:val="00D6248A"/>
    <w:rsid w:val="00D933B2"/>
    <w:rsid w:val="00DA345E"/>
    <w:rsid w:val="00DA46B1"/>
    <w:rsid w:val="00DC4FE4"/>
    <w:rsid w:val="00E0399E"/>
    <w:rsid w:val="00E22AC9"/>
    <w:rsid w:val="00E26D4B"/>
    <w:rsid w:val="00E324B6"/>
    <w:rsid w:val="00E33023"/>
    <w:rsid w:val="00E67639"/>
    <w:rsid w:val="00E77A8A"/>
    <w:rsid w:val="00E974C4"/>
    <w:rsid w:val="00EB263A"/>
    <w:rsid w:val="00EF7341"/>
    <w:rsid w:val="00F00E96"/>
    <w:rsid w:val="00F259E5"/>
    <w:rsid w:val="00F3500E"/>
    <w:rsid w:val="00F35F58"/>
    <w:rsid w:val="00F40032"/>
    <w:rsid w:val="00F53359"/>
    <w:rsid w:val="00F55E32"/>
    <w:rsid w:val="00F9580F"/>
    <w:rsid w:val="00F960C9"/>
    <w:rsid w:val="00FD448D"/>
    <w:rsid w:val="00FD4B3D"/>
    <w:rsid w:val="00FE2B6D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6\&#1054;&#1058;&#1063;&#1045;&#1058;&#1067;%203%20&#1082;&#1074;.2016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6\&#1054;&#1058;&#1063;&#1045;&#1058;&#1067;%203%20&#1082;&#1074;.2016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6\&#1054;&#1058;&#1063;&#1045;&#1058;&#1067;%203%20&#1082;&#1074;.2016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Лист1!$B$4:$B$5</c:f>
              <c:strCache>
                <c:ptCount val="1"/>
                <c:pt idx="0">
                  <c:v>9 месяцев 2016 </c:v>
                </c:pt>
              </c:strCache>
            </c:strRef>
          </c:tx>
          <c:invertIfNegative val="0"/>
          <c:cat>
            <c:strRef>
              <c:f>Лист1!$A$6:$A$10</c:f>
              <c:strCache>
                <c:ptCount val="5"/>
                <c:pt idx="1">
                  <c:v>электронного документа</c:v>
                </c:pt>
                <c:pt idx="2">
                  <c:v>письменной форме</c:v>
                </c:pt>
                <c:pt idx="3">
                  <c:v>устной форме</c:v>
                </c:pt>
                <c:pt idx="4">
                  <c:v>Всего</c:v>
                </c:pt>
              </c:strCache>
            </c:strRef>
          </c:cat>
          <c:val>
            <c:numRef>
              <c:f>Лист1!$B$6:$B$10</c:f>
              <c:numCache>
                <c:formatCode>General</c:formatCode>
                <c:ptCount val="5"/>
                <c:pt idx="1">
                  <c:v>473</c:v>
                </c:pt>
                <c:pt idx="2">
                  <c:v>629</c:v>
                </c:pt>
                <c:pt idx="3">
                  <c:v>221</c:v>
                </c:pt>
                <c:pt idx="4">
                  <c:v>1373</c:v>
                </c:pt>
              </c:numCache>
            </c:numRef>
          </c:val>
        </c:ser>
        <c:ser>
          <c:idx val="1"/>
          <c:order val="1"/>
          <c:tx>
            <c:strRef>
              <c:f>Лист1!$C$4:$C$5</c:f>
              <c:strCache>
                <c:ptCount val="1"/>
                <c:pt idx="0">
                  <c:v>9 месяцев 2015</c:v>
                </c:pt>
              </c:strCache>
            </c:strRef>
          </c:tx>
          <c:invertIfNegative val="0"/>
          <c:cat>
            <c:strRef>
              <c:f>Лист1!$A$6:$A$10</c:f>
              <c:strCache>
                <c:ptCount val="5"/>
                <c:pt idx="1">
                  <c:v>электронного документа</c:v>
                </c:pt>
                <c:pt idx="2">
                  <c:v>письменной форме</c:v>
                </c:pt>
                <c:pt idx="3">
                  <c:v>устной форме</c:v>
                </c:pt>
                <c:pt idx="4">
                  <c:v>Всего</c:v>
                </c:pt>
              </c:strCache>
            </c:strRef>
          </c:cat>
          <c:val>
            <c:numRef>
              <c:f>Лист1!$C$6:$C$10</c:f>
              <c:numCache>
                <c:formatCode>General</c:formatCode>
                <c:ptCount val="5"/>
                <c:pt idx="1">
                  <c:v>440</c:v>
                </c:pt>
                <c:pt idx="2">
                  <c:v>382</c:v>
                </c:pt>
                <c:pt idx="3">
                  <c:v>354</c:v>
                </c:pt>
                <c:pt idx="4">
                  <c:v>1176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242560"/>
        <c:axId val="78244096"/>
        <c:axId val="0"/>
      </c:bar3DChart>
      <c:catAx>
        <c:axId val="78242560"/>
        <c:scaling>
          <c:orientation val="minMax"/>
        </c:scaling>
        <c:delete val="0"/>
        <c:axPos val="l"/>
        <c:majorTickMark val="out"/>
        <c:minorTickMark val="none"/>
        <c:tickLblPos val="nextTo"/>
        <c:crossAx val="78244096"/>
        <c:crosses val="autoZero"/>
        <c:auto val="1"/>
        <c:lblAlgn val="ctr"/>
        <c:lblOffset val="100"/>
        <c:noMultiLvlLbl val="0"/>
      </c:catAx>
      <c:valAx>
        <c:axId val="78244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8242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Лист1!$A$30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cat>
            <c:strRef>
              <c:f>Лист1!$B$24:$C$24</c:f>
              <c:strCache>
                <c:ptCount val="2"/>
                <c:pt idx="0">
                  <c:v>9 месяцев 2016 г.</c:v>
                </c:pt>
                <c:pt idx="1">
                  <c:v>9 месяцев 2015 г.</c:v>
                </c:pt>
              </c:strCache>
            </c:strRef>
          </c:cat>
          <c:val>
            <c:numRef>
              <c:f>Лист1!$B$30:$C$30</c:f>
              <c:numCache>
                <c:formatCode>General</c:formatCode>
                <c:ptCount val="2"/>
                <c:pt idx="0">
                  <c:v>468</c:v>
                </c:pt>
                <c:pt idx="1">
                  <c:v>533</c:v>
                </c:pt>
              </c:numCache>
            </c:numRef>
          </c:val>
        </c:ser>
        <c:ser>
          <c:idx val="2"/>
          <c:order val="1"/>
          <c:tx>
            <c:strRef>
              <c:f>Лист1!$A$26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invertIfNegative val="0"/>
          <c:cat>
            <c:strRef>
              <c:f>Лист1!$B$24:$C$24</c:f>
              <c:strCache>
                <c:ptCount val="2"/>
                <c:pt idx="0">
                  <c:v>9 месяцев 2016 г.</c:v>
                </c:pt>
                <c:pt idx="1">
                  <c:v>9 месяцев 2015 г.</c:v>
                </c:pt>
              </c:strCache>
            </c:strRef>
          </c:cat>
          <c:val>
            <c:numRef>
              <c:f>Лист1!$B$26:$C$26</c:f>
              <c:numCache>
                <c:formatCode>General</c:formatCode>
                <c:ptCount val="2"/>
                <c:pt idx="0">
                  <c:v>86</c:v>
                </c:pt>
                <c:pt idx="1">
                  <c:v>99</c:v>
                </c:pt>
              </c:numCache>
            </c:numRef>
          </c:val>
        </c:ser>
        <c:ser>
          <c:idx val="1"/>
          <c:order val="2"/>
          <c:tx>
            <c:strRef>
              <c:f>Лист1!$A$27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cat>
            <c:strRef>
              <c:f>Лист1!$B$24:$C$24</c:f>
              <c:strCache>
                <c:ptCount val="2"/>
                <c:pt idx="0">
                  <c:v>9 месяцев 2016 г.</c:v>
                </c:pt>
                <c:pt idx="1">
                  <c:v>9 месяцев 2015 г.</c:v>
                </c:pt>
              </c:strCache>
            </c:strRef>
          </c:cat>
          <c:val>
            <c:numRef>
              <c:f>Лист1!$B$27:$C$27</c:f>
              <c:numCache>
                <c:formatCode>General</c:formatCode>
                <c:ptCount val="2"/>
                <c:pt idx="0">
                  <c:v>74</c:v>
                </c:pt>
                <c:pt idx="1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Лист1!$A$28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cat>
            <c:strRef>
              <c:f>Лист1!$B$24:$C$24</c:f>
              <c:strCache>
                <c:ptCount val="2"/>
                <c:pt idx="0">
                  <c:v>9 месяцев 2016 г.</c:v>
                </c:pt>
                <c:pt idx="1">
                  <c:v>9 месяцев 2015 г.</c:v>
                </c:pt>
              </c:strCache>
            </c:strRef>
          </c:cat>
          <c:val>
            <c:numRef>
              <c:f>Лист1!$B$28:$C$28</c:f>
              <c:numCache>
                <c:formatCode>General</c:formatCode>
                <c:ptCount val="2"/>
                <c:pt idx="0">
                  <c:v>700</c:v>
                </c:pt>
                <c:pt idx="1">
                  <c:v>464</c:v>
                </c:pt>
              </c:numCache>
            </c:numRef>
          </c:val>
        </c:ser>
        <c:ser>
          <c:idx val="4"/>
          <c:order val="4"/>
          <c:tx>
            <c:strRef>
              <c:f>Лист1!$A$29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cat>
            <c:strRef>
              <c:f>Лист1!$B$24:$C$24</c:f>
              <c:strCache>
                <c:ptCount val="2"/>
                <c:pt idx="0">
                  <c:v>9 месяцев 2016 г.</c:v>
                </c:pt>
                <c:pt idx="1">
                  <c:v>9 месяцев 2015 г.</c:v>
                </c:pt>
              </c:strCache>
            </c:strRef>
          </c:cat>
          <c:val>
            <c:numRef>
              <c:f>Лист1!$B$29:$C$29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830080"/>
        <c:axId val="126831616"/>
        <c:axId val="0"/>
      </c:bar3DChart>
      <c:catAx>
        <c:axId val="12683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6831616"/>
        <c:crosses val="autoZero"/>
        <c:auto val="1"/>
        <c:lblAlgn val="ctr"/>
        <c:lblOffset val="100"/>
        <c:noMultiLvlLbl val="0"/>
      </c:catAx>
      <c:valAx>
        <c:axId val="12683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83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Лист1!$B$36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Лист1!$A$37:$A$43</c:f>
              <c:strCache>
                <c:ptCount val="7"/>
                <c:pt idx="0">
                  <c:v>Анонимное обращение</c:v>
                </c:pt>
                <c:pt idx="1">
                  <c:v>Жалоба</c:v>
                </c:pt>
                <c:pt idx="2">
                  <c:v>Заявление</c:v>
                </c:pt>
                <c:pt idx="3">
                  <c:v>Коллективное обращение</c:v>
                </c:pt>
                <c:pt idx="4">
                  <c:v>Не обращение</c:v>
                </c:pt>
                <c:pt idx="5">
                  <c:v>Предложение</c:v>
                </c:pt>
                <c:pt idx="6">
                  <c:v>Всего</c:v>
                </c:pt>
              </c:strCache>
            </c:strRef>
          </c:cat>
          <c:val>
            <c:numRef>
              <c:f>Лист1!$B$37:$B$43</c:f>
              <c:numCache>
                <c:formatCode>General</c:formatCode>
                <c:ptCount val="7"/>
                <c:pt idx="0">
                  <c:v>10</c:v>
                </c:pt>
                <c:pt idx="1">
                  <c:v>9</c:v>
                </c:pt>
                <c:pt idx="2">
                  <c:v>1159</c:v>
                </c:pt>
                <c:pt idx="3">
                  <c:v>114</c:v>
                </c:pt>
                <c:pt idx="4">
                  <c:v>10</c:v>
                </c:pt>
                <c:pt idx="5">
                  <c:v>21</c:v>
                </c:pt>
                <c:pt idx="6">
                  <c:v>1323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Korepanova_NN</dc:creator>
  <cp:lastModifiedBy>Korepanova_NN</cp:lastModifiedBy>
  <cp:revision>4</cp:revision>
  <cp:lastPrinted>2016-10-05T07:19:00Z</cp:lastPrinted>
  <dcterms:created xsi:type="dcterms:W3CDTF">2016-10-31T05:32:00Z</dcterms:created>
  <dcterms:modified xsi:type="dcterms:W3CDTF">2016-10-31T05:39:00Z</dcterms:modified>
</cp:coreProperties>
</file>