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"/>
        <w:gridCol w:w="1887"/>
        <w:gridCol w:w="435"/>
        <w:gridCol w:w="580"/>
        <w:gridCol w:w="6491"/>
      </w:tblGrid>
      <w:tr w:rsidR="007F7B53" w:rsidRPr="007F7B53" w:rsidTr="00FD5D20">
        <w:trPr>
          <w:trHeight w:val="524"/>
        </w:trPr>
        <w:tc>
          <w:tcPr>
            <w:tcW w:w="9460" w:type="dxa"/>
            <w:gridSpan w:val="5"/>
          </w:tcPr>
          <w:p w:rsidR="007F7B53" w:rsidRPr="007F7B53" w:rsidRDefault="007F7B53" w:rsidP="007F7B5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7F7B5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7F7B53" w:rsidRPr="007F7B53" w:rsidRDefault="007F7B53" w:rsidP="007F7B5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7F7B5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7F7B53" w:rsidRPr="007F7B53" w:rsidRDefault="007F7B53" w:rsidP="007F7B5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7F7B53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7F7B53" w:rsidRPr="007F7B53" w:rsidRDefault="007F7B53" w:rsidP="007F7B5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955" t="19050" r="1968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F7B53" w:rsidRPr="007F7B53" w:rsidTr="00FD5D20">
        <w:trPr>
          <w:trHeight w:val="524"/>
        </w:trPr>
        <w:tc>
          <w:tcPr>
            <w:tcW w:w="284" w:type="dxa"/>
            <w:vAlign w:val="bottom"/>
          </w:tcPr>
          <w:p w:rsidR="007F7B53" w:rsidRPr="007F7B53" w:rsidRDefault="007F7B53" w:rsidP="007F7B5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7F7B5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F7B53" w:rsidRPr="007F7B53" w:rsidRDefault="007F7B53" w:rsidP="007F7B5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18.11.2020</w:t>
            </w:r>
            <w:bookmarkStart w:id="0" w:name="_GoBack"/>
            <w:bookmarkEnd w:id="0"/>
            <w:r w:rsidRPr="007F7B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7F7B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7F7B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7F7B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F7B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F7B53" w:rsidRPr="007F7B53" w:rsidRDefault="007F7B53" w:rsidP="007F7B5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F7B5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F7B53" w:rsidRPr="007F7B53" w:rsidRDefault="007F7B53" w:rsidP="007F7B5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F7B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7F7B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7F7B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7F7B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F7B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944</w:t>
            </w:r>
          </w:p>
        </w:tc>
        <w:tc>
          <w:tcPr>
            <w:tcW w:w="6341" w:type="dxa"/>
            <w:vAlign w:val="bottom"/>
          </w:tcPr>
          <w:p w:rsidR="007F7B53" w:rsidRPr="007F7B53" w:rsidRDefault="007F7B53" w:rsidP="007F7B5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7F7B53" w:rsidRPr="007F7B53" w:rsidTr="00FD5D20">
        <w:trPr>
          <w:trHeight w:val="130"/>
        </w:trPr>
        <w:tc>
          <w:tcPr>
            <w:tcW w:w="9460" w:type="dxa"/>
            <w:gridSpan w:val="5"/>
          </w:tcPr>
          <w:p w:rsidR="007F7B53" w:rsidRPr="007F7B53" w:rsidRDefault="007F7B53" w:rsidP="007F7B5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7F7B53" w:rsidRPr="007F7B53" w:rsidTr="00FD5D20">
        <w:tc>
          <w:tcPr>
            <w:tcW w:w="9460" w:type="dxa"/>
            <w:gridSpan w:val="5"/>
          </w:tcPr>
          <w:p w:rsidR="007F7B53" w:rsidRPr="007F7B53" w:rsidRDefault="007F7B53" w:rsidP="007F7B5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7F7B53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7F7B53" w:rsidRPr="007F7B53" w:rsidRDefault="007F7B53" w:rsidP="007F7B5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7F7B53" w:rsidRPr="007F7B53" w:rsidRDefault="007F7B53" w:rsidP="007F7B5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7F7B53" w:rsidRPr="007F7B53" w:rsidTr="00FD5D20">
        <w:tc>
          <w:tcPr>
            <w:tcW w:w="9460" w:type="dxa"/>
            <w:gridSpan w:val="5"/>
          </w:tcPr>
          <w:p w:rsidR="007F7B53" w:rsidRPr="007F7B53" w:rsidRDefault="007F7B53" w:rsidP="007F7B5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</w:pPr>
            <w:r w:rsidRPr="007F7B53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>О прогнозе социально-экономического развития городского округа Верхняя Пышма на 2021 год и плановый период 2022 и 2023 годов</w:t>
            </w:r>
          </w:p>
        </w:tc>
      </w:tr>
      <w:tr w:rsidR="007F7B53" w:rsidRPr="007F7B53" w:rsidTr="00FD5D20">
        <w:tc>
          <w:tcPr>
            <w:tcW w:w="9460" w:type="dxa"/>
            <w:gridSpan w:val="5"/>
          </w:tcPr>
          <w:p w:rsidR="007F7B53" w:rsidRPr="007F7B53" w:rsidRDefault="007F7B53" w:rsidP="007F7B5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6"/>
                <w:lang w:eastAsia="ru-RU"/>
              </w:rPr>
            </w:pPr>
          </w:p>
          <w:p w:rsidR="007F7B53" w:rsidRPr="007F7B53" w:rsidRDefault="007F7B53" w:rsidP="007F7B5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6"/>
                <w:lang w:eastAsia="ru-RU"/>
              </w:rPr>
            </w:pPr>
          </w:p>
        </w:tc>
      </w:tr>
    </w:tbl>
    <w:p w:rsidR="007F7B53" w:rsidRPr="007F7B53" w:rsidRDefault="007F7B53" w:rsidP="007F7B5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F7B5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 соответствии с Бюджетным кодексом Российской Федерации, Федеральным законом от 28 июня 2014 года № 172-ФЗ «О стратегическом планировании </w:t>
      </w:r>
      <w:r w:rsidRPr="007F7B53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в Российской Федерации», Законом Свердловской области от </w:t>
      </w:r>
      <w:r w:rsidRPr="007F7B53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15 июня 2015 года № 45-ОЗ «О стратегическом планировании в Российской Федерации, осуществляемом на территории Свердловской области», постановлением Правительства Свердловской области от 02.09.2015 № 800-ПП «О порядке разработки, корректировки, осуществления мониторинга и контроля реализации прогноза социально-экономического развития Свердловской области на среднесрочный период», постановлением администрации городского округа Верхняя Пышма </w:t>
      </w:r>
      <w:r w:rsidRPr="007F7B53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от 30.05.2014 № 922 «О порядке разработки прогноза социально-экономического развития городского округа Верхняя Пышма», руководствуясь Уставом городского округа Верхняя Пышма, администрация городского округа Верхняя</w:t>
      </w:r>
      <w:r w:rsidRPr="007F7B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7F7B53">
        <w:rPr>
          <w:rFonts w:ascii="Liberation Serif" w:eastAsia="Times New Roman" w:hAnsi="Liberation Serif" w:cs="Times New Roman"/>
          <w:sz w:val="26"/>
          <w:szCs w:val="26"/>
          <w:lang w:eastAsia="ru-RU"/>
        </w:rPr>
        <w:t>Пышма</w:t>
      </w:r>
    </w:p>
    <w:p w:rsidR="007F7B53" w:rsidRPr="007F7B53" w:rsidRDefault="007F7B53" w:rsidP="007F7B5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F7B5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7F7B53" w:rsidRPr="007F7B53" w:rsidRDefault="007F7B53" w:rsidP="007F7B5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F7B53">
        <w:rPr>
          <w:rFonts w:ascii="Liberation Serif" w:eastAsia="Times New Roman" w:hAnsi="Liberation Serif" w:cs="Times New Roman"/>
          <w:sz w:val="26"/>
          <w:szCs w:val="26"/>
          <w:lang w:eastAsia="ru-RU"/>
        </w:rPr>
        <w:t>1. Одобрить прогноз социально-экономического развития городского округа Верхняя Пышма на 2021 год и плановый период 2022 и 2023 годов (прилагается).</w:t>
      </w:r>
    </w:p>
    <w:p w:rsidR="007F7B53" w:rsidRPr="007F7B53" w:rsidRDefault="007F7B53" w:rsidP="007F7B5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F7B5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2. Направить прогноз социально-экономического развития городского округа Верхняя Пышма на 2021 год и плановый период 2022 и 2023 годов в Думу городского округа Верхняя Пышма в составе документов, вносимых одновременно </w:t>
      </w:r>
      <w:r w:rsidRPr="007F7B53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с проектом Решения о бюджете городского округа Верхняя Пышма на 2021 год </w:t>
      </w:r>
      <w:r w:rsidRPr="007F7B53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и плановый период 2022 и 2023 годов.</w:t>
      </w:r>
    </w:p>
    <w:p w:rsidR="007F7B53" w:rsidRPr="007F7B53" w:rsidRDefault="007F7B53" w:rsidP="007F7B5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F7B5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3. Опубликовать настоящее постановление в газете «Красное знамя», </w:t>
      </w:r>
      <w:r w:rsidRPr="007F7B53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7F7B53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www</w:t>
      </w:r>
      <w:r w:rsidRPr="007F7B53">
        <w:rPr>
          <w:rFonts w:ascii="Liberation Serif" w:eastAsia="Times New Roman" w:hAnsi="Liberation Serif" w:cs="Times New Roman"/>
          <w:sz w:val="26"/>
          <w:szCs w:val="26"/>
          <w:lang w:eastAsia="ru-RU"/>
        </w:rPr>
        <w:t>.верхняяпышма-право.рф), разместить на официальном сайте городского округа Верхняя Пышма (</w:t>
      </w:r>
      <w:r w:rsidRPr="007F7B53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movp</w:t>
      </w:r>
      <w:r w:rsidRPr="007F7B53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  <w:r w:rsidRPr="007F7B53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ru</w:t>
      </w:r>
      <w:r w:rsidRPr="007F7B53">
        <w:rPr>
          <w:rFonts w:ascii="Liberation Serif" w:eastAsia="Times New Roman" w:hAnsi="Liberation Serif" w:cs="Times New Roman"/>
          <w:sz w:val="26"/>
          <w:szCs w:val="26"/>
          <w:lang w:eastAsia="ru-RU"/>
        </w:rPr>
        <w:t>).</w:t>
      </w:r>
    </w:p>
    <w:p w:rsidR="007F7B53" w:rsidRPr="007F7B53" w:rsidRDefault="007F7B53" w:rsidP="007F7B5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F7B5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4. Контроль за исполнением настоящего постановления возложить </w:t>
      </w:r>
      <w:r w:rsidRPr="007F7B53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на заместителя главы администрации по экономике и финансам городского округа Верхняя Пышма Ряжкину М.С.</w:t>
      </w:r>
    </w:p>
    <w:p w:rsidR="007F7B53" w:rsidRPr="007F7B53" w:rsidRDefault="007F7B53" w:rsidP="007F7B5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8"/>
          <w:szCs w:val="26"/>
          <w:lang w:eastAsia="ru-RU"/>
        </w:rPr>
      </w:pPr>
    </w:p>
    <w:p w:rsidR="007F7B53" w:rsidRPr="007F7B53" w:rsidRDefault="007F7B53" w:rsidP="007F7B5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8"/>
          <w:szCs w:val="2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5"/>
        <w:gridCol w:w="3423"/>
      </w:tblGrid>
      <w:tr w:rsidR="007F7B53" w:rsidRPr="007F7B53" w:rsidTr="00FD5D20">
        <w:trPr>
          <w:trHeight w:val="413"/>
        </w:trPr>
        <w:tc>
          <w:tcPr>
            <w:tcW w:w="6237" w:type="dxa"/>
            <w:vAlign w:val="bottom"/>
          </w:tcPr>
          <w:p w:rsidR="007F7B53" w:rsidRPr="007F7B53" w:rsidRDefault="007F7B53" w:rsidP="007F7B53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6"/>
                <w:lang w:eastAsia="ru-RU"/>
              </w:rPr>
            </w:pPr>
          </w:p>
          <w:p w:rsidR="007F7B53" w:rsidRPr="007F7B53" w:rsidRDefault="007F7B53" w:rsidP="007F7B5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7F7B53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F7B53" w:rsidRPr="007F7B53" w:rsidRDefault="007F7B53" w:rsidP="007F7B53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7F7B53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7F7B53" w:rsidRPr="007F7B53" w:rsidRDefault="007F7B53" w:rsidP="007F7B5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val="en-US" w:eastAsia="ru-RU"/>
        </w:rPr>
      </w:pPr>
    </w:p>
    <w:p w:rsidR="00B32C93" w:rsidRDefault="00B32C93"/>
    <w:sectPr w:rsidR="00B32C93" w:rsidSect="005334D8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567" w:bottom="1134" w:left="153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7F7B5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Вр-304518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</w:instrText>
    </w:r>
    <w:r>
      <w:rPr>
        <w:sz w:val="20"/>
        <w:szCs w:val="20"/>
      </w:rPr>
      <w:instrText xml:space="preserve">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7F7B5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Вр-304518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39630610" w:edGrp="everyone"/>
  <w:p w:rsidR="00AF0248" w:rsidRDefault="007F7B5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239630610"/>
  <w:p w:rsidR="00810AAA" w:rsidRPr="00810AAA" w:rsidRDefault="007F7B5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7F7B53" w:rsidP="00810AAA">
    <w:pPr>
      <w:pStyle w:val="a3"/>
      <w:jc w:val="center"/>
    </w:pPr>
    <w:permStart w:id="1675321552" w:edGrp="everyone"/>
    <w:permEnd w:id="167532155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682"/>
    <w:rsid w:val="007F7B53"/>
    <w:rsid w:val="00B32C93"/>
    <w:rsid w:val="00DD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F7B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F7B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F7B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F7B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F7B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F7B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F7B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F7B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2020-11-24T05:42:00Z</dcterms:created>
  <dcterms:modified xsi:type="dcterms:W3CDTF">2020-11-24T05:42:00Z</dcterms:modified>
</cp:coreProperties>
</file>