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A6988" w14:textId="1A002A5A" w:rsidR="001E1A18" w:rsidRPr="001E1A18" w:rsidRDefault="001E1A18" w:rsidP="001E1A18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  <w:r>
        <w:rPr>
          <w:rFonts w:ascii="Liberation Serif" w:hAnsi="Liberation Serif"/>
          <w:sz w:val="28"/>
          <w:szCs w:val="28"/>
        </w:rPr>
        <w:br/>
        <w:t xml:space="preserve">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 __</w:t>
      </w:r>
      <w:r w:rsidR="00053571">
        <w:rPr>
          <w:rFonts w:ascii="Liberation Serif" w:hAnsi="Liberation Serif"/>
          <w:sz w:val="28"/>
          <w:szCs w:val="28"/>
        </w:rPr>
        <w:t>проект</w:t>
      </w:r>
      <w:r>
        <w:rPr>
          <w:rFonts w:ascii="Liberation Serif" w:hAnsi="Liberation Serif"/>
          <w:sz w:val="28"/>
          <w:szCs w:val="28"/>
        </w:rPr>
        <w:t>____ № __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___</w:t>
      </w:r>
    </w:p>
    <w:p w14:paraId="7DF5B6AC" w14:textId="77777777" w:rsidR="001E1A18" w:rsidRDefault="001E1A18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791D9BC5" w14:textId="23897114" w:rsidR="001E1A18" w:rsidRPr="001E1A18" w:rsidRDefault="001E1A18" w:rsidP="001E1A18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 № 3 к муниципальной программе «Формирование современной комфортной городской среды на территории городского округа Верхняя Пышма на 2018-2024 годы» </w:t>
      </w:r>
      <w:r w:rsidR="00CB7B17">
        <w:rPr>
          <w:rFonts w:ascii="Liberation Serif" w:hAnsi="Liberation Serif"/>
          <w:sz w:val="28"/>
          <w:szCs w:val="28"/>
        </w:rPr>
        <w:t xml:space="preserve"> в рамках реализации регионального проекта «Формирование комфортной городской среды на территории городского округа Верхняя Пышма»</w:t>
      </w:r>
    </w:p>
    <w:p w14:paraId="7FEDD0DE" w14:textId="77777777" w:rsidR="001E1A18" w:rsidRDefault="001E1A18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566DEF66" w14:textId="77777777" w:rsidR="001E1A18" w:rsidRDefault="001E1A18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13242EB7" w14:textId="77777777" w:rsidR="00041973" w:rsidRDefault="00041973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Раздел 1. Характеристика текущего состояния сферы благоустройства</w:t>
      </w:r>
    </w:p>
    <w:p w14:paraId="6E20D488" w14:textId="77777777" w:rsidR="00041973" w:rsidRDefault="00041973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14:paraId="7C864C21" w14:textId="77777777" w:rsidR="00041973" w:rsidRDefault="00041973" w:rsidP="0004197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7238F64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условий для системного повышения качества и комфорта городской среды на территории городского округа Верхняя Пышма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 w14:paraId="3A40BD7B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установления требований к содержанию и благоустройству территорий администрацией городского округа Верхняя Пышма разработаны Правила благоустройства в соответствии с методическими рекомендациями, утвержденными приказом Министерства строительства и жилищно-коммунального хозяйства Российской Федерации от 13 апреля 2017 года № 711/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для обеспечения чистоты и порядка в городском округе Верхняя Пышма, в соответствии с которыми определены в том числе правила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сбора, временного хранения и утилизации отходов, правила содержания объектов благоустройства, правила проведения земляных работ, правила озеленения, правила содержания собак и иных животных.</w:t>
      </w:r>
    </w:p>
    <w:p w14:paraId="60B1DC77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В настоящее время уровень благоустройства дворовых территорий многоквартирных домов (далее – дворовые территории) полностью или частично нормативным требованиям не отвечает:</w:t>
      </w:r>
    </w:p>
    <w:p w14:paraId="2263B7B2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lastRenderedPageBreak/>
        <w:t>1) асфальтобетонное покрытие большинства придомовых территорий имеет высокий физический износ;</w:t>
      </w:r>
    </w:p>
    <w:p w14:paraId="668AE1CE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2) в ряде дворов отсутствует освещение придомовых территорий, необходимый набор малых архитектурных форм и обустроенных площадок;</w:t>
      </w:r>
    </w:p>
    <w:p w14:paraId="79059A3D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3) наличие на придомовых территориях, сгоревших и разрушенных хозяйственных строений создает угрозу жизни и здоровью граждан;</w:t>
      </w:r>
    </w:p>
    <w:p w14:paraId="66FB0068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4) отсутствие специально обустроенных стоянок для автомобилей приводит к их хаотичной парковке;</w:t>
      </w:r>
    </w:p>
    <w:p w14:paraId="464B8580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5) зеленые насаждения на дворовых территориях представлены, в основном, зрелыми или перестойными деревьями, на газонах не устроены цветники;</w:t>
      </w:r>
    </w:p>
    <w:p w14:paraId="5A4D52AB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6) повышение уровня благоустройства дворовых территорий требует производства работ, в том числе по удалению аварийных деревьев, посадке деревьев и кустарников.</w:t>
      </w:r>
    </w:p>
    <w:p w14:paraId="63695BC9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Характеристика текущего состояния сектора благоустройства в городском округе Верхняя Пышма (далее - городской округ):</w:t>
      </w:r>
    </w:p>
    <w:p w14:paraId="5BF31CE9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суммарная площадь дворовых территорий многоквартирных домов в </w:t>
      </w:r>
      <w:r>
        <w:rPr>
          <w:rFonts w:ascii="Liberation Serif" w:hAnsi="Liberation Serif" w:cs="Times New Roman"/>
          <w:sz w:val="28"/>
          <w:szCs w:val="28"/>
        </w:rPr>
        <w:t xml:space="preserve">городском </w:t>
      </w:r>
      <w:r>
        <w:rPr>
          <w:rFonts w:ascii="Liberation Serif" w:eastAsia="Calibri" w:hAnsi="Liberation Serif" w:cs="Times New Roman"/>
          <w:sz w:val="28"/>
          <w:szCs w:val="28"/>
        </w:rPr>
        <w:t>– 1 400 155,00 кв. м;</w:t>
      </w:r>
    </w:p>
    <w:p w14:paraId="18A91042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суммарная площадь общественных территории в </w:t>
      </w:r>
      <w:r>
        <w:rPr>
          <w:rFonts w:ascii="Liberation Serif" w:hAnsi="Liberation Serif" w:cs="Times New Roman"/>
          <w:sz w:val="28"/>
          <w:szCs w:val="28"/>
        </w:rPr>
        <w:t>городском округе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– 30 120 000,00 кв. м;</w:t>
      </w:r>
    </w:p>
    <w:p w14:paraId="28E15FE3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общее количество дворовых территорий многоквартирных домов в </w:t>
      </w:r>
      <w:r>
        <w:rPr>
          <w:rFonts w:ascii="Liberation Serif" w:hAnsi="Liberation Serif" w:cs="Times New Roman"/>
          <w:sz w:val="28"/>
          <w:szCs w:val="28"/>
        </w:rPr>
        <w:t>городском округе –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547 единиц;</w:t>
      </w:r>
    </w:p>
    <w:p w14:paraId="69284BDF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общее количество общественных территорий в </w:t>
      </w:r>
      <w:r>
        <w:rPr>
          <w:rFonts w:ascii="Liberation Serif" w:hAnsi="Liberation Serif" w:cs="Times New Roman"/>
          <w:sz w:val="28"/>
          <w:szCs w:val="28"/>
        </w:rPr>
        <w:t xml:space="preserve">городском округе </w:t>
      </w:r>
      <w:r>
        <w:rPr>
          <w:rFonts w:ascii="Liberation Serif" w:eastAsia="Calibri" w:hAnsi="Liberation Serif" w:cs="Times New Roman"/>
          <w:sz w:val="28"/>
          <w:szCs w:val="28"/>
        </w:rPr>
        <w:t>– 25 единиц;</w:t>
      </w:r>
    </w:p>
    <w:p w14:paraId="49F3A3FF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суммарная площадь дворовых территорий многоквартирных домов в </w:t>
      </w:r>
      <w:r>
        <w:rPr>
          <w:rFonts w:ascii="Liberation Serif" w:hAnsi="Liberation Serif" w:cs="Times New Roman"/>
          <w:sz w:val="28"/>
          <w:szCs w:val="28"/>
        </w:rPr>
        <w:t>городском округе</w:t>
      </w:r>
      <w:r>
        <w:rPr>
          <w:rFonts w:ascii="Liberation Serif" w:eastAsia="Calibri" w:hAnsi="Liberation Serif" w:cs="Times New Roman"/>
          <w:sz w:val="28"/>
          <w:szCs w:val="28"/>
        </w:rPr>
        <w:t>, нуждающихся в благоустройстве – 406 543,00 кв. м;</w:t>
      </w:r>
    </w:p>
    <w:p w14:paraId="22E73C63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суммарная площадь общественных территорий в </w:t>
      </w:r>
      <w:r>
        <w:rPr>
          <w:rFonts w:ascii="Liberation Serif" w:hAnsi="Liberation Serif" w:cs="Times New Roman"/>
          <w:sz w:val="28"/>
          <w:szCs w:val="28"/>
        </w:rPr>
        <w:t>городском округе</w:t>
      </w:r>
      <w:r>
        <w:rPr>
          <w:rFonts w:ascii="Liberation Serif" w:eastAsia="Calibri" w:hAnsi="Liberation Serif" w:cs="Times New Roman"/>
          <w:sz w:val="28"/>
          <w:szCs w:val="28"/>
        </w:rPr>
        <w:t>, нуждающихся в благоустройстве – 25 026 559,00 кв. м;</w:t>
      </w:r>
    </w:p>
    <w:p w14:paraId="1C047823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общее количество дворовых территорий многоквартирных домов в </w:t>
      </w:r>
      <w:r>
        <w:rPr>
          <w:rFonts w:ascii="Liberation Serif" w:hAnsi="Liberation Serif" w:cs="Times New Roman"/>
          <w:sz w:val="28"/>
          <w:szCs w:val="28"/>
        </w:rPr>
        <w:t>городском округе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, нуждающихся в благоустройстве – 167 единиц. </w:t>
      </w:r>
    </w:p>
    <w:p w14:paraId="728185D8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общее количество общественных территорий в городском округе, нуждающихся в благоустройстве – 3 единицы.</w:t>
      </w:r>
    </w:p>
    <w:p w14:paraId="6DF892F9" w14:textId="77777777" w:rsidR="00041973" w:rsidRDefault="00041973" w:rsidP="00041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повышению уровня благоустройства и качества городской среды необходим последовательный комплексный подход, рассчитанный на 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14:paraId="742B3CAF" w14:textId="77777777" w:rsidR="00041973" w:rsidRDefault="00041973" w:rsidP="00041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Реализация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муниципальной программы позволит повысить комфортность проживания населения, увеличить площадь озеленения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14:paraId="39C40ADF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Элементы благоустройства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планируется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разработать согласно требованиям СП 59.13330,2016 «Доступность зданий и сооружений для маломобильных групп населения», а также в соответствии со СП 35-105-2002 «Реконструкция городской застройки с учетом доступности для инвалидов и других маломобильных групп населения».</w:t>
      </w:r>
    </w:p>
    <w:p w14:paraId="30E1EC3F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частности, одним из основных принципов формирования безопасной и удобной для инвалидов городской среды является создание условий для обеспечения беспрепятственной доступности объектов обслуживания, в местах пользования транспортными коммуникациями, сооружениями, пешеходными путями. Существующий жилищный фонд и объекты обслуживания оборудовать пандусами и специальными дорожками.</w:t>
      </w:r>
    </w:p>
    <w:p w14:paraId="6631018E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рамках реализации муниципальной программы вводятся следующие основные понятия:</w:t>
      </w:r>
    </w:p>
    <w:p w14:paraId="0115882B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14:paraId="32159C75" w14:textId="77777777" w:rsidR="00041973" w:rsidRDefault="00041973" w:rsidP="00041973">
      <w:pPr>
        <w:pStyle w:val="a6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минимальный перечень видов работ по благоустройству дворовых и общественных территорий содержит покрытие поверхности, обеспечение наружного освещения, установка скамеек и урн (далее – минимальный перечень видов работ по благоустройству);</w:t>
      </w:r>
    </w:p>
    <w:p w14:paraId="02200F3F" w14:textId="77777777" w:rsidR="00041973" w:rsidRDefault="00041973" w:rsidP="00041973">
      <w:pPr>
        <w:pStyle w:val="ConsPlusNormal0"/>
        <w:ind w:firstLine="708"/>
        <w:jc w:val="both"/>
        <w:rPr>
          <w:rFonts w:ascii="Liberation Serif" w:hAnsi="Liberation Serif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перечень дополнительных видов работ по благоустройству дворовых и общественных территорий включает: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установка детского игрового оборудования; установка физкультурно-оздоровительных устройств, сооружений, комплексов; организация детских игровых площадок; организация площадок для занятий спортом (за исключением плоскостных сооружений); установка элементов городской мебели; организация площадки для отдыха взрослых; озеленение соответствующей территории; установка малых архитектурных форм (за исключением элементов городской мебели); организация площадки для выгула и дрессировки собак; устройство площадки хозяйственного назначения; обустройство парковки индивидуального транспорта, в том числе с 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оборудованием специальными конструкциями для велосипедов;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устройство плоскостных сооружений (теннисные, хоккейные, футбольные и другие корты; устройство ступеней, лестниц на перепадах рельефа; водоотводные канавы для сбора и отвода воды с дворовой территории; обеспечение условий доступности для </w:t>
      </w:r>
      <w:r>
        <w:rPr>
          <w:rFonts w:ascii="Liberation Serif" w:hAnsi="Liberation Serif" w:cs="Times New Roman"/>
          <w:color w:val="000000"/>
          <w:sz w:val="28"/>
          <w:szCs w:val="28"/>
        </w:rPr>
        <w:lastRenderedPageBreak/>
        <w:t>инвалидов и других маломобильных групп населения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(далее – дополнительный перечень работ по благоустройству).</w:t>
      </w:r>
      <w:r>
        <w:rPr>
          <w:rFonts w:ascii="Liberation Serif" w:hAnsi="Liberation Serif"/>
        </w:rPr>
        <w:t xml:space="preserve"> </w:t>
      </w:r>
    </w:p>
    <w:p w14:paraId="22F5A198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покрытия поверхности – твердые (капитальные), мягкие (некапитальные), газонные, комбинированные – в целях обеспечения безопасного и комфортного передвижения по территории;</w:t>
      </w:r>
    </w:p>
    <w:p w14:paraId="4444FACE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сопряжения поверхностей – различные виды бортовых камней, пандусы, ступени, лестницы;</w:t>
      </w:r>
    </w:p>
    <w:p w14:paraId="25569AF9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озеленение – живые изгороди, боскеты, шпалеры, газоны, цветники, деревья, различные виды посадок – в целях ландшафтной организации территории;</w:t>
      </w:r>
    </w:p>
    <w:p w14:paraId="0684146F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ограды – ограждения постоянного назначения в виде живых изгородей из однорядных или многорядных посадок кустарников, из сборных железобетонных элементов, металлических секций и других материалов, разрешенных к использованию;</w:t>
      </w:r>
    </w:p>
    <w:p w14:paraId="14108EDD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малые архитектурные формы – элементы монументально-декоративного назначения – декоративные стенки, беседки, цветочницы, вазоны для цветов, скульптуры; водные устройства; городская мебель – различные виды скамей и столов; коммунально-бытовое оборудование – мусоросборники, контейнеры, урны; </w:t>
      </w:r>
    </w:p>
    <w:p w14:paraId="5A457206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наружное освещение – светотехническое оборудование, предназначенное для утилитарного, архитектурного, ландшафтного, рекламного и иных видов освещения, соответствующее требованиям, в том числе СП 52.13330.2011. Свод правил. Естественное и искусственное освещение;</w:t>
      </w:r>
    </w:p>
    <w:p w14:paraId="353443CC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игровое и (или) спортивное оборудование – игровые, физкультурно-оздоровительные устройства, сооружения и (или) их комплексы;</w:t>
      </w:r>
    </w:p>
    <w:p w14:paraId="3119A700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площадки (хозяйственного назначения, игр детей, отдыха взрослых, занятий спортом, установки коммунально-бытового оборудования, выгула и дрессировки собак, автомобильные).</w:t>
      </w:r>
    </w:p>
    <w:p w14:paraId="40288630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Реализуемый проект должен содержать не менее шести элементов благоустройства, включая в обязательном порядке покрытие поверхности, обеспечение наружного освещения, установку скамеек, урн.</w:t>
      </w:r>
    </w:p>
    <w:p w14:paraId="6DB0BB72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Перед началом работ по комплексному благоустройству двора разрабатывается эскизный проект мероприятий, а при необходимости - рабочий проект. Все мероприятия планируются с учетом создания условий для жизнедеятельности инвалидов.</w:t>
      </w:r>
    </w:p>
    <w:p w14:paraId="301406B7" w14:textId="77777777" w:rsidR="00041973" w:rsidRDefault="00041973" w:rsidP="00041973">
      <w:pPr>
        <w:pStyle w:val="ConsPlusNormal0"/>
        <w:ind w:firstLine="708"/>
        <w:jc w:val="both"/>
        <w:rPr>
          <w:rFonts w:ascii="Liberation Serif" w:hAnsi="Liberation Serif" w:cs="Times New Roman"/>
          <w:color w:val="000000"/>
          <w:sz w:val="28"/>
          <w:szCs w:val="24"/>
        </w:rPr>
      </w:pPr>
      <w:r>
        <w:rPr>
          <w:rFonts w:ascii="Liberation Serif" w:hAnsi="Liberation Serif" w:cs="Times New Roman"/>
          <w:color w:val="000000"/>
          <w:sz w:val="28"/>
          <w:szCs w:val="24"/>
        </w:rPr>
        <w:t>Приоритет имеют проекты, выполненные по принципу комплексного подхода к благоустройству соответствующей территории. Количество баллов в соответствии с составом комплекса работ приведено в таблице 1.</w:t>
      </w:r>
    </w:p>
    <w:p w14:paraId="0B526F87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32"/>
          <w:szCs w:val="28"/>
        </w:rPr>
      </w:pPr>
    </w:p>
    <w:p w14:paraId="748D47BC" w14:textId="77777777" w:rsidR="00041973" w:rsidRDefault="00041973" w:rsidP="00041973">
      <w:pPr>
        <w:pStyle w:val="ConsPlusNormal0"/>
        <w:jc w:val="right"/>
        <w:outlineLvl w:val="2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7661"/>
      </w:tblGrid>
      <w:tr w:rsidR="00041973" w14:paraId="467F4BF9" w14:textId="77777777" w:rsidTr="00F52405">
        <w:trPr>
          <w:trHeight w:val="529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F240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844C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Комплекс работ</w:t>
            </w:r>
          </w:p>
        </w:tc>
      </w:tr>
      <w:tr w:rsidR="00041973" w14:paraId="4A9AF2A0" w14:textId="77777777" w:rsidTr="00F52405">
        <w:trPr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6CAC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B476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41973" w14:paraId="6DDD0327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C336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B559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установка детского игрового оборудования</w:t>
            </w:r>
          </w:p>
        </w:tc>
      </w:tr>
      <w:tr w:rsidR="00041973" w14:paraId="7500CBE2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D7B1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8A20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установка физкультурно-оздоровительных устройств, сооружений, комплексов</w:t>
            </w:r>
          </w:p>
        </w:tc>
      </w:tr>
      <w:tr w:rsidR="00041973" w14:paraId="78B474C1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8A46" w14:textId="77777777" w:rsidR="00041973" w:rsidRDefault="00041973" w:rsidP="00F5240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6BEE" w14:textId="77777777" w:rsidR="00041973" w:rsidRDefault="00041973" w:rsidP="00F5240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организация детских игровых площадок </w:t>
            </w:r>
          </w:p>
        </w:tc>
      </w:tr>
      <w:tr w:rsidR="00041973" w14:paraId="14363339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1483" w14:textId="77777777" w:rsidR="00041973" w:rsidRDefault="00041973" w:rsidP="00F5240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BDEE" w14:textId="77777777" w:rsidR="00041973" w:rsidRDefault="00041973" w:rsidP="00F5240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организация площадок для занятий спортом (за исключением плоскостных сооружений) </w:t>
            </w:r>
          </w:p>
        </w:tc>
      </w:tr>
      <w:tr w:rsidR="00041973" w14:paraId="05A40620" w14:textId="77777777" w:rsidTr="00F52405">
        <w:trPr>
          <w:trHeight w:val="273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CA6D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A4B2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развитие дорожно-тропиночной сети</w:t>
            </w:r>
          </w:p>
        </w:tc>
      </w:tr>
      <w:tr w:rsidR="00041973" w14:paraId="0A5450F9" w14:textId="77777777" w:rsidTr="00F52405">
        <w:trPr>
          <w:trHeight w:val="136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BBB7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16E7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установка элементов городской мебели</w:t>
            </w:r>
          </w:p>
        </w:tc>
      </w:tr>
      <w:tr w:rsidR="00041973" w14:paraId="7893C302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1026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6006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площадки для отдыха взрослых</w:t>
            </w:r>
          </w:p>
        </w:tc>
      </w:tr>
      <w:tr w:rsidR="00041973" w14:paraId="06F8460C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153E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CC8F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озеленение соответствующей территории </w:t>
            </w:r>
          </w:p>
        </w:tc>
      </w:tr>
      <w:tr w:rsidR="00041973" w14:paraId="21229E0D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E165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D1E3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установка малых архитектурных форм (за исключением элементов городской мебели)</w:t>
            </w:r>
          </w:p>
        </w:tc>
      </w:tr>
      <w:tr w:rsidR="00041973" w14:paraId="1BECE9A8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0F1F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ED29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устройство ограждения постоянного назначения в виде живых изгородей</w:t>
            </w:r>
          </w:p>
        </w:tc>
      </w:tr>
      <w:tr w:rsidR="00041973" w14:paraId="0FF8E5B9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8880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98BA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наружное освещение соответствующей территории </w:t>
            </w:r>
          </w:p>
        </w:tc>
      </w:tr>
      <w:tr w:rsidR="00041973" w14:paraId="05AE1B06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AEFD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1660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площадки для выгула и дрессировки собак</w:t>
            </w:r>
          </w:p>
        </w:tc>
      </w:tr>
      <w:tr w:rsidR="00041973" w14:paraId="162FD369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66DC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C9CF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устройство площадки хозяйственного назначения </w:t>
            </w:r>
          </w:p>
        </w:tc>
      </w:tr>
      <w:tr w:rsidR="00041973" w14:paraId="7DC5EF36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1905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9F4B" w14:textId="77777777" w:rsidR="00041973" w:rsidRDefault="00041973" w:rsidP="00F52405">
            <w:pPr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обустройство парковки индивидуального транспорта, в том числе с оборудованием специальными конструкциями для велосипедов</w:t>
            </w:r>
          </w:p>
        </w:tc>
      </w:tr>
      <w:tr w:rsidR="00041973" w14:paraId="479E0736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EB32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AB50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использование коммунально-бытового оборудования, в том числе на площадках хозяйственного назначения</w:t>
            </w:r>
          </w:p>
        </w:tc>
      </w:tr>
      <w:tr w:rsidR="00041973" w14:paraId="1FA0DFF4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72B8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6FD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применение усовершенствованного покрытия на детских площадках и плоскостных сооружениях</w:t>
            </w:r>
          </w:p>
        </w:tc>
      </w:tr>
      <w:tr w:rsidR="00041973" w14:paraId="66C81F8E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5786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9F3F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устройство плоскостных сооружений (теннисные, хоккейные, футбольные и другие корты)</w:t>
            </w:r>
          </w:p>
        </w:tc>
      </w:tr>
      <w:tr w:rsidR="00041973" w14:paraId="3C0F607E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8B77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17E5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устройство ступеней, лестниц на перепадах рельефа</w:t>
            </w:r>
          </w:p>
        </w:tc>
      </w:tr>
      <w:tr w:rsidR="00041973" w14:paraId="0770242D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935F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75EF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водоотводные канавы для сбора и отвода воды с дворовой территории</w:t>
            </w:r>
          </w:p>
        </w:tc>
      </w:tr>
      <w:tr w:rsidR="00041973" w14:paraId="48C991B8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775C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FA49" w14:textId="77777777" w:rsidR="00041973" w:rsidRDefault="00041973" w:rsidP="00F52405">
            <w:pPr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условий доступности для инвалидов и других маломобильных групп населения</w:t>
            </w:r>
          </w:p>
        </w:tc>
      </w:tr>
    </w:tbl>
    <w:p w14:paraId="77E81974" w14:textId="77777777" w:rsidR="00041973" w:rsidRDefault="00041973" w:rsidP="00041973">
      <w:pPr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4"/>
        </w:rPr>
      </w:pPr>
    </w:p>
    <w:p w14:paraId="1E2580A3" w14:textId="77777777" w:rsidR="00041973" w:rsidRDefault="00041973" w:rsidP="00041973">
      <w:pPr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8"/>
          <w:szCs w:val="24"/>
        </w:rPr>
        <w:t xml:space="preserve">Приоритет имеют проекты, которые выполнены в соответствии с требованиями санитарно-гигиенических и экологических условий, международными стандартами безопасности. Учитывается расположение соответствующей территории в региональной программе по капитальному ремонту общего имущества многоквартирных домов и краткосрочных планах ее реализации, а также в увязке с инженерными коммуникациями и техногенными объектами, программами модернизации инженерных сетей коммунальной </w:t>
      </w:r>
      <w:r>
        <w:rPr>
          <w:rFonts w:ascii="Liberation Serif" w:hAnsi="Liberation Serif"/>
          <w:color w:val="000000"/>
          <w:sz w:val="28"/>
          <w:szCs w:val="28"/>
        </w:rPr>
        <w:t>инфраструктуры муниципального образования для объектов, расположенных на соответствующей территории. Значения и распределение по баллам данного критерия приведены в таблице 2.</w:t>
      </w:r>
    </w:p>
    <w:p w14:paraId="1FC4ACAE" w14:textId="77777777" w:rsidR="00041973" w:rsidRDefault="00041973" w:rsidP="00041973">
      <w:pPr>
        <w:pStyle w:val="ConsPlusNormal0"/>
        <w:jc w:val="right"/>
        <w:outlineLvl w:val="2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687"/>
      </w:tblGrid>
      <w:tr w:rsidR="00041973" w14:paraId="57A9513D" w14:textId="77777777" w:rsidTr="00F52405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6348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935A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Наименование безопасных условий</w:t>
            </w:r>
          </w:p>
          <w:p w14:paraId="6023C780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для соответствующих территорий</w:t>
            </w:r>
          </w:p>
        </w:tc>
      </w:tr>
      <w:tr w:rsidR="00041973" w14:paraId="3054F2B2" w14:textId="77777777" w:rsidTr="00F52405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85E7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A23E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1) инженерные сети коммунальной инфраструктуры муниципального образования не проходят через соответствующую территорию;</w:t>
            </w:r>
          </w:p>
          <w:p w14:paraId="3DF40E9F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2) площадка хозяйственного назначения удалена от соответствующей территории на безопасное расстояние или (и) расположена с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подветренной стороны по отношению к ней;</w:t>
            </w:r>
          </w:p>
          <w:p w14:paraId="56E1CB64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3) элементы благоустройства проекта сертифицированы;</w:t>
            </w:r>
          </w:p>
          <w:p w14:paraId="2F44AF2B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4) элементы игровых площадок выполнены в соответствии с международными стандартами (ГОСТами) безопасности;</w:t>
            </w:r>
          </w:p>
          <w:p w14:paraId="7900D76A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5) выполнены условия доступности для инвалидов и других маломобильных групп населения</w:t>
            </w:r>
          </w:p>
        </w:tc>
      </w:tr>
      <w:tr w:rsidR="00041973" w14:paraId="1B581341" w14:textId="77777777" w:rsidTr="00F52405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73CD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3 балла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50D9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1) инженерные сети коммунальной инфраструктуры муниципального образования не проходят через соответствующую территорию;</w:t>
            </w:r>
          </w:p>
          <w:p w14:paraId="6E3C5258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2) элементы благоустройства проекта сертифицированы;</w:t>
            </w:r>
          </w:p>
          <w:p w14:paraId="1B2FFF0B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3) выполнены условия доступности для инвалидов и других маломобильных групп населения</w:t>
            </w:r>
          </w:p>
        </w:tc>
      </w:tr>
      <w:tr w:rsidR="00041973" w14:paraId="4A7DEF9B" w14:textId="77777777" w:rsidTr="00F52405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5851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DBA3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условия безопасности не продуманы</w:t>
            </w:r>
          </w:p>
        </w:tc>
      </w:tr>
    </w:tbl>
    <w:p w14:paraId="5C5DDCA8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17E70096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  <w:r>
        <w:rPr>
          <w:rFonts w:ascii="Liberation Serif" w:hAnsi="Liberation Serif"/>
          <w:sz w:val="28"/>
          <w:szCs w:val="24"/>
          <w:lang w:eastAsia="ru-RU"/>
        </w:rPr>
        <w:t>Учитывается доля заинтересованных лиц, которым обеспечены комфортные условия при реализации проекта в текущем году (в процентном отношении от общей численности населения). Значения и распределение по баллам данного критерия приведены в таблице 3.</w:t>
      </w:r>
    </w:p>
    <w:p w14:paraId="7FF2445B" w14:textId="77777777" w:rsidR="00781134" w:rsidRDefault="00781134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0C354535" w14:textId="77777777" w:rsidR="00041973" w:rsidRDefault="00041973" w:rsidP="00041973">
      <w:pPr>
        <w:pStyle w:val="ConsPlusNormal0"/>
        <w:ind w:firstLine="54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7790"/>
      </w:tblGrid>
      <w:tr w:rsidR="00041973" w14:paraId="11529AFA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B654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9792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Доля заинтересованных лиц, которым обеспечены комфортные условия при реализации проекта (процентов)</w:t>
            </w:r>
          </w:p>
        </w:tc>
      </w:tr>
      <w:tr w:rsidR="00041973" w14:paraId="269A3EC9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219E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7819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более 25</w:t>
            </w:r>
          </w:p>
        </w:tc>
      </w:tr>
      <w:tr w:rsidR="00041973" w14:paraId="521285B8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677C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B7F1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 10 до 25</w:t>
            </w:r>
          </w:p>
        </w:tc>
      </w:tr>
      <w:tr w:rsidR="00041973" w14:paraId="253C6BDE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D6A3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 балла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E92E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 1 до 10</w:t>
            </w:r>
          </w:p>
        </w:tc>
      </w:tr>
    </w:tbl>
    <w:p w14:paraId="1A02FB8B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7F78B971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  <w:r>
        <w:rPr>
          <w:rFonts w:ascii="Liberation Serif" w:hAnsi="Liberation Serif"/>
          <w:sz w:val="28"/>
          <w:szCs w:val="24"/>
          <w:lang w:eastAsia="ru-RU"/>
        </w:rPr>
        <w:t>Учитывается финансовая дисциплина собственников помещений в многоквартирном доме (размер суммарной задолженности по плате за ремонт и содержание жилья, взносов за капитальный ремонт). Значения и распределение по баллам данного критерия приведены в таблице 4.</w:t>
      </w:r>
    </w:p>
    <w:p w14:paraId="556F1BDC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228CB1D9" w14:textId="77777777" w:rsidR="00041973" w:rsidRDefault="00041973" w:rsidP="00041973">
      <w:pPr>
        <w:pStyle w:val="ConsPlusNormal0"/>
        <w:ind w:firstLine="540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7788"/>
      </w:tblGrid>
      <w:tr w:rsidR="00041973" w14:paraId="753525A3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8D07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0C0D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Задолженность от общей суммы начислений (процентов)</w:t>
            </w:r>
          </w:p>
        </w:tc>
      </w:tr>
      <w:tr w:rsidR="00041973" w14:paraId="55FA2E60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D308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446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 10</w:t>
            </w:r>
          </w:p>
        </w:tc>
      </w:tr>
      <w:tr w:rsidR="00041973" w14:paraId="68408FA7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F6C2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 балла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612C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 10 до 20</w:t>
            </w:r>
          </w:p>
        </w:tc>
      </w:tr>
      <w:tr w:rsidR="00041973" w14:paraId="07EC2960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DC21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8507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свыше 20</w:t>
            </w:r>
          </w:p>
        </w:tc>
      </w:tr>
    </w:tbl>
    <w:p w14:paraId="09FBF476" w14:textId="77777777" w:rsidR="00041973" w:rsidRDefault="00041973" w:rsidP="00041973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14:paraId="21DE0944" w14:textId="4F773185" w:rsidR="00041973" w:rsidRDefault="001E1A18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 w:rsidR="00041973">
        <w:rPr>
          <w:rFonts w:ascii="Liberation Serif" w:hAnsi="Liberation Serif"/>
          <w:b/>
          <w:sz w:val="28"/>
          <w:szCs w:val="28"/>
        </w:rPr>
        <w:t>2. Цели и задачи муниципальной программы.</w:t>
      </w:r>
    </w:p>
    <w:p w14:paraId="5E164A98" w14:textId="77777777" w:rsidR="00041973" w:rsidRDefault="00041973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Прогноз ожидаемых результатов</w:t>
      </w:r>
    </w:p>
    <w:p w14:paraId="1838A1B5" w14:textId="77777777" w:rsidR="00041973" w:rsidRDefault="00041973" w:rsidP="00041973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4FA0533A" w14:textId="77777777" w:rsidR="00041973" w:rsidRPr="00472A84" w:rsidRDefault="00041973" w:rsidP="0004197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72A84">
        <w:rPr>
          <w:rFonts w:ascii="Liberation Serif" w:hAnsi="Liberation Serif"/>
          <w:sz w:val="28"/>
          <w:szCs w:val="28"/>
        </w:rPr>
        <w:t>Приоритеты муниципальной политики городского округа определяются федеральным законодательством, паспортом регионального проекта «Формирование комфортной городской среды на территории Свердловской области» в рамках реализации регионального проекта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2A84">
        <w:rPr>
          <w:rFonts w:ascii="Liberation Serif" w:hAnsi="Liberation Serif"/>
          <w:sz w:val="28"/>
          <w:szCs w:val="28"/>
        </w:rPr>
        <w:t>«Формирование комфортной городской среды на территории Свердловской области»</w:t>
      </w:r>
      <w:r>
        <w:rPr>
          <w:rFonts w:ascii="Liberation Serif" w:hAnsi="Liberation Serif"/>
          <w:sz w:val="28"/>
          <w:szCs w:val="28"/>
        </w:rPr>
        <w:t>.</w:t>
      </w:r>
      <w:r w:rsidRPr="00472A84">
        <w:rPr>
          <w:rFonts w:ascii="Liberation Serif" w:hAnsi="Liberation Serif"/>
          <w:sz w:val="28"/>
          <w:szCs w:val="28"/>
        </w:rPr>
        <w:t xml:space="preserve"> </w:t>
      </w:r>
    </w:p>
    <w:p w14:paraId="54A5B3EE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В качестве приоритетного направления деятельности в сфере благоустройства на период 2018–2024 годов определяет системное повышение качества и комфортности городской среды путем реализации первоочередных мероприятий по благоустройству, а также проектов комплексного благоустройства дворовых территорий многоквартирных жилых домов и территорий общего пользования, подготовленных с учетом мнения населения.</w:t>
      </w:r>
    </w:p>
    <w:p w14:paraId="73F4A5D2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Основной целью реализация данного приоритетного направления является повышение комфортности и безопасности условий проживания и отдыха граждан на территории городского округа.</w:t>
      </w:r>
    </w:p>
    <w:p w14:paraId="0B8A6CDE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задачам муниципальной программы относятся следующие:</w:t>
      </w:r>
    </w:p>
    <w:p w14:paraId="587F32A0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повышение уровня благоустройства дворовых территорий в городском округе;</w:t>
      </w:r>
    </w:p>
    <w:p w14:paraId="22C603E3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повышение уровня благоустройства общественных территорий в городском округе;</w:t>
      </w:r>
    </w:p>
    <w:p w14:paraId="218FD430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увеличение вовлеченности заинтересованных граждан, организаций в реализацию мероприятий по благоустройству территории городского округа.</w:t>
      </w:r>
    </w:p>
    <w:p w14:paraId="25CBFC2C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Ожидаемые результаты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реализации муниципальной программы:</w:t>
      </w:r>
    </w:p>
    <w:p w14:paraId="1D95E972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количество благоустроенных дворовых территорий составит 437 единиц;</w:t>
      </w:r>
    </w:p>
    <w:p w14:paraId="1B297C81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доля благоустроенных дворовых территорий в общем количестве дворовых территорий городского округа, составит 80 процентов;</w:t>
      </w:r>
    </w:p>
    <w:p w14:paraId="219A1C49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количество благоустроенных общественных территорий составит 25 единиц;</w:t>
      </w:r>
    </w:p>
    <w:p w14:paraId="303BD192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доля благоустроенных общественных территорий в общем количестве общественных территорий   городского округа, составит 100 процентов.</w:t>
      </w:r>
    </w:p>
    <w:p w14:paraId="01E39899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показателях (индикаторах) муниципальной программы приведены в приложении № 1 к муниципальной программе.</w:t>
      </w:r>
    </w:p>
    <w:p w14:paraId="1361CECC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A4717D8" w14:textId="1B84C49B" w:rsidR="00041973" w:rsidRPr="00C83F7B" w:rsidRDefault="001E1A18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 w:rsidR="00041973">
        <w:rPr>
          <w:rFonts w:ascii="Liberation Serif" w:hAnsi="Liberation Serif"/>
          <w:b/>
          <w:sz w:val="28"/>
          <w:szCs w:val="28"/>
        </w:rPr>
        <w:t>3. План мероприятий по выполнению муниципальной программы.</w:t>
      </w:r>
    </w:p>
    <w:p w14:paraId="046A78A3" w14:textId="77777777" w:rsidR="00041973" w:rsidRPr="00C83F7B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14:paraId="03A2BD6A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основных мероприятий муниципальной программы представлен в приложении № 2 к муниципальной программе.</w:t>
      </w:r>
    </w:p>
    <w:p w14:paraId="154947D4" w14:textId="77777777" w:rsidR="00041973" w:rsidRDefault="00041973" w:rsidP="00041973">
      <w:pPr>
        <w:pStyle w:val="ConsPlusNormal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Перечень общественных территорий, подлежащих благоустройству, с учетом  физического состояния  общественной  территории  и   необходимости е  благоустройства   определяется  по   результатам   инвентаризации    общественной   территории.  </w:t>
      </w:r>
    </w:p>
    <w:p w14:paraId="37554BF6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Физическое состояние дворовой территории и необходимость ее благоустройства определяется по результатам инвентаризации дворовой территории, проведенной в соответствии с требованиями приказа Министерства энергетики и жилищно-коммунального хозяйства Свердловской области от 5.07.2017 № 215 «О порядке проведения </w:t>
      </w:r>
      <w:r>
        <w:rPr>
          <w:rFonts w:ascii="Liberation Serif" w:hAnsi="Liberation Serif"/>
          <w:sz w:val="28"/>
          <w:szCs w:val="28"/>
        </w:rPr>
        <w:lastRenderedPageBreak/>
        <w:t>инвентаризации дворовых территорий, общественных территорий, уровня благоустройства индивидуальных жилых домов и земельных участков, предоставленных для их размещения, расположенных на территории муниципальных образований Свердловской области».</w:t>
      </w:r>
    </w:p>
    <w:p w14:paraId="5E4FDBD4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Исполнители программы:</w:t>
      </w:r>
    </w:p>
    <w:p w14:paraId="38B14E73" w14:textId="77777777" w:rsidR="00041973" w:rsidRDefault="00041973" w:rsidP="000419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юридические и (или) физические лица, определенные в соответствии </w:t>
      </w:r>
      <w:r w:rsidRPr="005A17C5">
        <w:rPr>
          <w:rFonts w:ascii="Liberation Serif" w:hAnsi="Liberation Serif"/>
          <w:color w:val="000000"/>
          <w:sz w:val="28"/>
          <w:szCs w:val="28"/>
        </w:rPr>
        <w:t xml:space="preserve">с </w:t>
      </w:r>
      <w:hyperlink r:id="rId7" w:history="1">
        <w:r w:rsidRPr="005A17C5">
          <w:rPr>
            <w:rStyle w:val="a5"/>
            <w:rFonts w:ascii="Liberation Serif" w:hAnsi="Liberation Serif"/>
            <w:color w:val="000000"/>
            <w:sz w:val="28"/>
            <w:szCs w:val="28"/>
          </w:rPr>
          <w:t>законодательством</w:t>
        </w:r>
      </w:hyperlink>
      <w:r w:rsidRPr="005A17C5">
        <w:rPr>
          <w:rFonts w:ascii="Liberation Serif" w:hAnsi="Liberation Serif"/>
          <w:color w:val="000000"/>
          <w:sz w:val="28"/>
          <w:szCs w:val="28"/>
        </w:rPr>
        <w:t xml:space="preserve"> Российской</w:t>
      </w:r>
      <w:r>
        <w:rPr>
          <w:rFonts w:ascii="Liberation Serif" w:hAnsi="Liberation Serif"/>
          <w:color w:val="000000"/>
          <w:sz w:val="28"/>
          <w:szCs w:val="28"/>
        </w:rPr>
        <w:t xml:space="preserve">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051B63FA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/>
          <w:color w:val="000000"/>
          <w:sz w:val="28"/>
          <w:szCs w:val="28"/>
        </w:rPr>
        <w:t>-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граждане, общественные, научные и иные организации, расположенные в границах благоустраиваемой территории.</w:t>
      </w:r>
    </w:p>
    <w:p w14:paraId="06D72B44" w14:textId="77777777" w:rsidR="00041973" w:rsidRPr="00B27BEA" w:rsidRDefault="00041973" w:rsidP="00041973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Общественная комиссия по обеспечению реализации регионального проекта «</w:t>
      </w:r>
      <w:r w:rsidRPr="00B27BEA">
        <w:rPr>
          <w:rFonts w:ascii="Liberation Serif" w:hAnsi="Liberation Serif"/>
          <w:color w:val="000000"/>
          <w:sz w:val="28"/>
          <w:szCs w:val="28"/>
        </w:rPr>
        <w:t xml:space="preserve">Формирование комфортной городской среды на территории Свердловской области» на территории городского округа Верхняя Пышма» </w:t>
      </w:r>
      <w:r w:rsidRPr="00B27BEA">
        <w:rPr>
          <w:rFonts w:ascii="Liberation Serif" w:hAnsi="Liberation Serif"/>
          <w:sz w:val="28"/>
          <w:szCs w:val="28"/>
        </w:rPr>
        <w:t>в рамках реализации регионального проекта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27BEA">
        <w:rPr>
          <w:rFonts w:ascii="Liberation Serif" w:hAnsi="Liberation Serif"/>
          <w:sz w:val="28"/>
          <w:szCs w:val="28"/>
        </w:rPr>
        <w:t>«Формирование комфортной городской среды на т</w:t>
      </w:r>
      <w:r>
        <w:rPr>
          <w:rFonts w:ascii="Liberation Serif" w:hAnsi="Liberation Serif"/>
          <w:sz w:val="28"/>
          <w:szCs w:val="28"/>
        </w:rPr>
        <w:t xml:space="preserve">ерритории Свердловской области» </w:t>
      </w:r>
      <w:r w:rsidRPr="00B27BEA">
        <w:rPr>
          <w:rFonts w:ascii="Liberation Serif" w:hAnsi="Liberation Serif"/>
          <w:color w:val="000000"/>
          <w:sz w:val="28"/>
          <w:szCs w:val="28"/>
        </w:rPr>
        <w:t>Далее -  Общественная комиссия) вправе:</w:t>
      </w:r>
    </w:p>
    <w:p w14:paraId="07A38116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городского округа Верхняя Пышма при условии одобрения решения об исключении указанных территорий из адресного перечня дворовых территорий и общественных территорий Общественной  комиссией в порядке, установленном такой комиссией;</w:t>
      </w:r>
    </w:p>
    <w:p w14:paraId="269BD101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Общественной комиссией в порядке, установленном такой комиссией;</w:t>
      </w:r>
    </w:p>
    <w:p w14:paraId="42ADED0D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Контрольной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- для заключения соглашений на выполнение работ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14:paraId="256BF5D3" w14:textId="77777777" w:rsidR="00041973" w:rsidRDefault="00041973" w:rsidP="00041973">
      <w:pPr>
        <w:spacing w:after="0" w:line="240" w:lineRule="auto"/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14:paraId="39C25AEC" w14:textId="58143D69" w:rsidR="00041973" w:rsidRDefault="001E1A18" w:rsidP="00041973">
      <w:pPr>
        <w:spacing w:after="0" w:line="240" w:lineRule="auto"/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Раздел </w:t>
      </w:r>
      <w:r w:rsidR="00041973">
        <w:rPr>
          <w:rFonts w:ascii="Liberation Serif" w:hAnsi="Liberation Serif"/>
          <w:b/>
          <w:bCs/>
          <w:color w:val="000000"/>
          <w:sz w:val="28"/>
          <w:szCs w:val="28"/>
        </w:rPr>
        <w:t>4. Форма участия (финансовое и (или) трудовое) и доля участия заинтересованных лиц в выполнении минимального перечня работ и дополнительного перечня работ по благоустройству дворовых территорий</w:t>
      </w:r>
    </w:p>
    <w:p w14:paraId="7026DD35" w14:textId="77777777" w:rsidR="00041973" w:rsidRDefault="00041973" w:rsidP="00041973">
      <w:pPr>
        <w:spacing w:after="0" w:line="240" w:lineRule="auto"/>
        <w:ind w:firstLine="709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14:paraId="1E01336A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Формирование комфортной городской среды на территории городского округа Верхняя Пышма подразумевает повышение уровня вовлеченности граждан, организаций, возможности финансового и трудового участия в реализацию мероприятий программы. </w:t>
      </w:r>
    </w:p>
    <w:p w14:paraId="2F1E3869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Настоящий раздел устанавливает условия формы участия (финансовое и (или) трудовое) и доли участия заинтересованных лиц в выполнении минимального перечня работ и дополнительного перечня работ по благоустройству дворовых территорий.</w:t>
      </w:r>
    </w:p>
    <w:p w14:paraId="3566D1E3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- заинтересованные лица).</w:t>
      </w:r>
    </w:p>
    <w:p w14:paraId="448EBEB7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Заинтересованные лица вправе принять участие в реализации мероприятий по благоустройству дворовой территории, предусмотренных программой, путем выбора формы и доли такого участия.</w:t>
      </w:r>
    </w:p>
    <w:p w14:paraId="333756BC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предусмотрены следующие формы участия заинтересованных лиц, организаций: финансовое и (или) трудовое.</w:t>
      </w:r>
    </w:p>
    <w:p w14:paraId="6D07457B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Трудовое участие может быть осуществлено в виде выполнения жителями следующих неоплачиваемых работ, не требующих специальной квалификации:</w:t>
      </w:r>
    </w:p>
    <w:p w14:paraId="4B01820F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— подготовка объекта (дворовой территории) к началу работ (земляные работы, снятие старого оборудования, уборка мусора);</w:t>
      </w:r>
    </w:p>
    <w:p w14:paraId="13E75564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— другие работы (покраска оборудования, озеленение территории, посадка деревьев).</w:t>
      </w:r>
    </w:p>
    <w:p w14:paraId="2CC38BEF" w14:textId="77777777" w:rsidR="00041973" w:rsidRPr="002B290B" w:rsidRDefault="00041973" w:rsidP="00041973">
      <w:pPr>
        <w:spacing w:after="0" w:line="240" w:lineRule="auto"/>
        <w:ind w:firstLine="7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2B290B">
        <w:rPr>
          <w:rFonts w:ascii="Liberation Serif" w:hAnsi="Liberation Serif"/>
          <w:bCs/>
          <w:color w:val="000000"/>
          <w:sz w:val="28"/>
          <w:szCs w:val="28"/>
        </w:rPr>
        <w:t xml:space="preserve">Решение о форме и доле трудового участия принимается заинтересованными лицами и предоставляется в составе предложения о включении дворовой территории в программу «Формирование современной </w:t>
      </w:r>
      <w:r w:rsidRPr="002B290B">
        <w:rPr>
          <w:rFonts w:ascii="Liberation Serif" w:hAnsi="Liberation Serif"/>
          <w:bCs/>
          <w:color w:val="000000"/>
          <w:sz w:val="28"/>
          <w:szCs w:val="28"/>
        </w:rPr>
        <w:lastRenderedPageBreak/>
        <w:t xml:space="preserve">городской среды на территории городского округа Верхняя Пышма на 2018-2024 годы» </w:t>
      </w:r>
      <w:r w:rsidRPr="002B290B">
        <w:rPr>
          <w:rFonts w:ascii="Liberation Serif" w:hAnsi="Liberation Serif"/>
          <w:sz w:val="28"/>
          <w:szCs w:val="28"/>
        </w:rPr>
        <w:t>в рамках реализации регионального проекта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B290B">
        <w:rPr>
          <w:rFonts w:ascii="Liberation Serif" w:hAnsi="Liberation Serif"/>
          <w:sz w:val="28"/>
          <w:szCs w:val="28"/>
        </w:rPr>
        <w:t xml:space="preserve">«Формирование комфортной городской среды на территории Свердловской области»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B290B">
        <w:rPr>
          <w:rFonts w:ascii="Liberation Serif" w:hAnsi="Liberation Serif"/>
          <w:bCs/>
          <w:color w:val="000000"/>
          <w:sz w:val="28"/>
          <w:szCs w:val="28"/>
        </w:rPr>
        <w:t xml:space="preserve"> собственниками помещений в многоквартирных домах в виде протокольно оформленного решения общего собрания собственников. </w:t>
      </w:r>
    </w:p>
    <w:p w14:paraId="64DC28E9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В ходе рассмотрения предложений заинтересованных лиц о включении дворовой территории в программу предложения, в которых предусмотрено и финансовое и трудовое участие имеют преимущество над предложениями, где выбрана только одна форма участия.</w:t>
      </w:r>
    </w:p>
    <w:p w14:paraId="6D1A71B8" w14:textId="77777777" w:rsidR="00041973" w:rsidRDefault="00041973" w:rsidP="00041973">
      <w:pPr>
        <w:pStyle w:val="ConsPlusNormal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bCs/>
          <w:color w:val="000000"/>
          <w:sz w:val="28"/>
          <w:szCs w:val="28"/>
        </w:rPr>
        <w:t xml:space="preserve">Финансовое участие предусмотрено (в сумме не менее 5 процентов от общего объема финансирования проекта, предусмотренного локальным сметным расчетом на благоустройство </w:t>
      </w:r>
      <w:r>
        <w:rPr>
          <w:rFonts w:ascii="Liberation Serif" w:hAnsi="Liberation Serif" w:cs="Times New Roman"/>
          <w:sz w:val="28"/>
          <w:szCs w:val="28"/>
        </w:rPr>
        <w:t>дворовых территорий, по минимальному перечню</w:t>
      </w:r>
      <w:r>
        <w:rPr>
          <w:rFonts w:ascii="Liberation Serif" w:hAnsi="Liberation Serif" w:cs="Times New Roman"/>
          <w:bCs/>
          <w:color w:val="000000"/>
          <w:sz w:val="28"/>
          <w:szCs w:val="28"/>
        </w:rPr>
        <w:t>).</w:t>
      </w:r>
      <w:r>
        <w:rPr>
          <w:rFonts w:ascii="Liberation Serif" w:hAnsi="Liberation Serif"/>
        </w:rPr>
        <w:t xml:space="preserve"> </w:t>
      </w:r>
    </w:p>
    <w:p w14:paraId="2A89A272" w14:textId="77777777" w:rsidR="00041973" w:rsidRDefault="00041973" w:rsidP="00041973">
      <w:pPr>
        <w:pStyle w:val="ConsPlusNormal0"/>
        <w:ind w:firstLine="708"/>
        <w:jc w:val="both"/>
        <w:rPr>
          <w:rFonts w:ascii="Liberation Serif" w:hAnsi="Liberation Serif" w:cs="Times New Roman"/>
          <w:bCs/>
          <w:color w:val="000000"/>
          <w:sz w:val="28"/>
          <w:szCs w:val="28"/>
        </w:rPr>
      </w:pPr>
      <w:r>
        <w:rPr>
          <w:rFonts w:ascii="Liberation Serif" w:hAnsi="Liberation Serif" w:cs="Times New Roman"/>
          <w:bCs/>
          <w:color w:val="000000"/>
          <w:sz w:val="28"/>
          <w:szCs w:val="28"/>
        </w:rPr>
        <w:t>Реализация мероприятий муниципальной программы осуществляется исполнителями муниципальной программы - юридическими и физическими лицами, осуществляющими поставку товаров, выполнение работ и (или) оказание услуг для муниципальных нужд в соответствии с законодательством Российской Федерации, в том числе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7D29B9F7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Нормативное правовое регулирование в сфере реализации муниципальной программы осуществляется в соответствии с Федеральными законами от 10 января 2002 года № 7-ФЗ «Об охране окружающей среды» и от 24 июня 1998 года № 89-ФЗ «Об отходах производства и потребления», постановлением Правительства Российской Федерации от 10.02.2017 №169 «Об утверждении Правил предоставления и распределения субсидий из федерального бюджета бюджетам субъектов Российской Федерации на поддержку государственных программ субъектов Российской Федерации и 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691/пр.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среды, Приказа Минстроя России от 18 марта 2019 г. № 262/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Постановление Правительства РФ от 09.02.2019 № 106 «О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</w:t>
      </w:r>
      <w:r>
        <w:rPr>
          <w:rFonts w:ascii="Liberation Serif" w:hAnsi="Liberation Serif"/>
          <w:sz w:val="28"/>
          <w:szCs w:val="28"/>
        </w:rPr>
        <w:lastRenderedPageBreak/>
        <w:t>граждан Российской Федерации» в рамках реализации регионального проекта «Формирование комфортной городской среды на территории Свердловской области» на 2018 – 2024 годы».</w:t>
      </w:r>
    </w:p>
    <w:p w14:paraId="44D02EAB" w14:textId="77777777" w:rsidR="00041973" w:rsidRDefault="00041973" w:rsidP="00041973">
      <w:pPr>
        <w:pStyle w:val="ConsPlusNormal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Для реализации мероприятий муниципальной программы подготовлены следующие нормативные акты:</w:t>
      </w:r>
    </w:p>
    <w:p w14:paraId="019B2C5E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адресный перечень дворовых территорий, нуждающихся благоустройстве (с учетом их физического состояния), подлежащих благоустройству в период 2018-2024 годов;</w:t>
      </w:r>
    </w:p>
    <w:p w14:paraId="3901C83F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адресный перечень общественных территорий, нуждающихся благоустройстве (с учетом их физического состояния), подлежащих благоустройству в период 2018-2024 годов;</w:t>
      </w:r>
    </w:p>
    <w:p w14:paraId="146BF846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адресный перечень объектов недвижимого имущества,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года;</w:t>
      </w:r>
    </w:p>
    <w:p w14:paraId="0D205D24" w14:textId="77777777" w:rsidR="00041973" w:rsidRDefault="00041973" w:rsidP="0004197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62F86">
        <w:rPr>
          <w:rFonts w:ascii="Liberation Serif" w:hAnsi="Liberation Serif"/>
          <w:sz w:val="28"/>
          <w:szCs w:val="28"/>
        </w:rPr>
        <w:t>- порядок участия и сроков представления, рассмотрения и оценки предложений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62F86">
        <w:rPr>
          <w:rFonts w:ascii="Liberation Serif" w:hAnsi="Liberation Serif"/>
          <w:sz w:val="28"/>
          <w:szCs w:val="28"/>
        </w:rPr>
        <w:t>«Формирование комфортной городской среды на территории Свердловской области»</w:t>
      </w:r>
      <w:r>
        <w:rPr>
          <w:rFonts w:ascii="Liberation Serif" w:hAnsi="Liberation Serif"/>
          <w:sz w:val="28"/>
          <w:szCs w:val="28"/>
        </w:rPr>
        <w:t>,</w:t>
      </w:r>
      <w:r w:rsidRPr="00762F86">
        <w:rPr>
          <w:rFonts w:ascii="Liberation Serif" w:hAnsi="Liberation Serif"/>
          <w:sz w:val="28"/>
          <w:szCs w:val="28"/>
        </w:rPr>
        <w:t xml:space="preserve"> аккумулирования и расходования средств заинтересованных</w:t>
      </w:r>
      <w:r>
        <w:rPr>
          <w:rFonts w:ascii="Liberation Serif" w:hAnsi="Liberation Serif"/>
          <w:sz w:val="28"/>
          <w:szCs w:val="28"/>
        </w:rPr>
        <w:t xml:space="preserve">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Пышма;</w:t>
      </w:r>
    </w:p>
    <w:p w14:paraId="2DA1DB09" w14:textId="77777777" w:rsidR="00041973" w:rsidRPr="00762F86" w:rsidRDefault="00041973" w:rsidP="0004197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62F86">
        <w:rPr>
          <w:rFonts w:ascii="Liberation Serif" w:hAnsi="Liberation Serif"/>
          <w:sz w:val="28"/>
          <w:szCs w:val="28"/>
        </w:rPr>
        <w:t>- нормативная стоимость (единичных расценок) элементов благоустройства по проектам дворовых и общественных территорий, реализуемых в рамках муниципальной программы «Формирование комфортной городской среды на территории городского округа Верхняя Пышма на 2018-2024 годы» в рамках реализации регионального проекта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62F86">
        <w:rPr>
          <w:rFonts w:ascii="Liberation Serif" w:hAnsi="Liberation Serif"/>
          <w:sz w:val="28"/>
          <w:szCs w:val="28"/>
        </w:rPr>
        <w:t>«Формирование комфортной городской среды на территории Свердловской области»</w:t>
      </w:r>
    </w:p>
    <w:p w14:paraId="355CC183" w14:textId="77777777" w:rsidR="00041973" w:rsidRPr="00762F86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2787EE1" w14:textId="77777777" w:rsidR="00041973" w:rsidRDefault="00041973" w:rsidP="0004197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23A851BC" w14:textId="77777777" w:rsidR="00041973" w:rsidRDefault="00041973" w:rsidP="00041973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Раздел 5. О</w:t>
      </w:r>
      <w:r>
        <w:rPr>
          <w:rFonts w:ascii="Liberation Serif" w:hAnsi="Liberation Serif"/>
          <w:b/>
          <w:sz w:val="28"/>
          <w:szCs w:val="28"/>
        </w:rPr>
        <w:t>бъем средств, необходимых на реализацию муниципальной программы за счет всех источников финансирования на 2018–2024 годы</w:t>
      </w:r>
    </w:p>
    <w:p w14:paraId="0B546487" w14:textId="77777777" w:rsidR="00041973" w:rsidRDefault="00041973" w:rsidP="00041973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3FA1509B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муниципальной программы осуществляется за счёт следующих источников финансирования:</w:t>
      </w:r>
    </w:p>
    <w:p w14:paraId="2A9E21AD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за счет средств бюджета Свердловской области;</w:t>
      </w:r>
    </w:p>
    <w:p w14:paraId="0F7EBBBF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за счет средств бюджета городского округа Верхняя Пышма;</w:t>
      </w:r>
    </w:p>
    <w:p w14:paraId="0BF55652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за счёт средств заинтересованных лиц, предусмотренных на </w:t>
      </w:r>
      <w:proofErr w:type="spellStart"/>
      <w:r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>
        <w:rPr>
          <w:rFonts w:ascii="Liberation Serif" w:hAnsi="Liberation Serif"/>
          <w:sz w:val="28"/>
          <w:szCs w:val="28"/>
        </w:rPr>
        <w:t xml:space="preserve"> муниципальной программы.</w:t>
      </w:r>
    </w:p>
    <w:p w14:paraId="5DFD49A6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Размер средств заинтересованных лиц, предусмотренных на </w:t>
      </w:r>
      <w:proofErr w:type="spellStart"/>
      <w:r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>
        <w:rPr>
          <w:rFonts w:ascii="Liberation Serif" w:hAnsi="Liberation Serif"/>
          <w:sz w:val="28"/>
          <w:szCs w:val="28"/>
        </w:rPr>
        <w:t xml:space="preserve"> муниципальной программы, составляет не менее 5 процентов от объема </w:t>
      </w:r>
      <w:r>
        <w:rPr>
          <w:rFonts w:ascii="Liberation Serif" w:hAnsi="Liberation Serif"/>
          <w:bCs/>
          <w:color w:val="000000"/>
          <w:sz w:val="28"/>
          <w:szCs w:val="28"/>
        </w:rPr>
        <w:t xml:space="preserve">финансирования, предусмотренного локальным сметным расчетом на благоустройство </w:t>
      </w:r>
      <w:r>
        <w:rPr>
          <w:rFonts w:ascii="Liberation Serif" w:hAnsi="Liberation Serif"/>
          <w:sz w:val="28"/>
          <w:szCs w:val="28"/>
        </w:rPr>
        <w:t>дворовых территорий, подлежащих направлению на </w:t>
      </w:r>
      <w:proofErr w:type="spellStart"/>
      <w:r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мероприятий из минимального перечня работ по благоустройству. </w:t>
      </w:r>
      <w:r w:rsidRPr="00A504FA">
        <w:rPr>
          <w:rFonts w:ascii="Liberation Serif" w:hAnsi="Liberation Serif"/>
          <w:sz w:val="28"/>
          <w:szCs w:val="28"/>
        </w:rPr>
        <w:t xml:space="preserve">Размер средств заинтересованных лиц, предусмотренных на </w:t>
      </w:r>
      <w:proofErr w:type="spellStart"/>
      <w:r w:rsidRPr="00A504FA"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 w:rsidRPr="00A504FA">
        <w:rPr>
          <w:rFonts w:ascii="Liberation Serif" w:hAnsi="Liberation Serif"/>
          <w:sz w:val="28"/>
          <w:szCs w:val="28"/>
        </w:rPr>
        <w:t xml:space="preserve"> муниципальной </w:t>
      </w:r>
      <w:r>
        <w:rPr>
          <w:rFonts w:ascii="Liberation Serif" w:hAnsi="Liberation Serif"/>
          <w:sz w:val="28"/>
          <w:szCs w:val="28"/>
        </w:rPr>
        <w:t>программы, составляет не менее 20</w:t>
      </w:r>
      <w:r w:rsidRPr="00A504FA">
        <w:rPr>
          <w:rFonts w:ascii="Liberation Serif" w:hAnsi="Liberation Serif"/>
          <w:sz w:val="28"/>
          <w:szCs w:val="28"/>
        </w:rPr>
        <w:t xml:space="preserve"> процентов от объема финансирования, предусмотренного локальным сметным расчетом на благоустройство дворовых территорий, подлежащих направлению на </w:t>
      </w:r>
      <w:proofErr w:type="spellStart"/>
      <w:r w:rsidRPr="00A504FA"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 w:rsidRPr="00A504FA">
        <w:rPr>
          <w:rFonts w:ascii="Liberation Serif" w:hAnsi="Liberation Serif"/>
          <w:sz w:val="28"/>
          <w:szCs w:val="28"/>
        </w:rPr>
        <w:t xml:space="preserve"> мероприятий из </w:t>
      </w:r>
      <w:r>
        <w:rPr>
          <w:rFonts w:ascii="Liberation Serif" w:hAnsi="Liberation Serif"/>
          <w:sz w:val="28"/>
          <w:szCs w:val="28"/>
        </w:rPr>
        <w:t xml:space="preserve">дополнительного </w:t>
      </w:r>
      <w:r w:rsidRPr="00A504FA">
        <w:rPr>
          <w:rFonts w:ascii="Liberation Serif" w:hAnsi="Liberation Serif"/>
          <w:sz w:val="28"/>
          <w:szCs w:val="28"/>
        </w:rPr>
        <w:t>перечня работ по благоустройству.</w:t>
      </w:r>
    </w:p>
    <w:p w14:paraId="58FF588B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Нормативная стоимость (единичные расценки) работ по благоустройству дворовых и общественных территорий, входящих в состав минимального и дополнительного перечня таких работ, утверждается ежегодно нормативно-правовым актом администрации </w:t>
      </w:r>
      <w:r>
        <w:rPr>
          <w:rFonts w:ascii="Liberation Serif" w:hAnsi="Liberation Serif"/>
          <w:sz w:val="28"/>
          <w:szCs w:val="28"/>
        </w:rPr>
        <w:t>городского округа Верхняя Пышма.</w:t>
      </w:r>
    </w:p>
    <w:p w14:paraId="56F4B445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Перечень мероприятий муниципальной программы и объемы финансирования подлежат корректировке в части программных мероприятий, результатов их реализации и оценки эффективности, исходя из возможностей соответствующих бюджетов бюджетной системы Российской Федерации на очередной год и на плановый период.</w:t>
      </w:r>
    </w:p>
    <w:p w14:paraId="04B4AADD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Оценк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расходов на выполнение мероприятий уточняются (по годам) в соответствии с утвержденной проектно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-сметной документацией.</w:t>
      </w:r>
    </w:p>
    <w:p w14:paraId="220B9410" w14:textId="77777777" w:rsidR="00041973" w:rsidRPr="003C063F" w:rsidRDefault="00041973" w:rsidP="00041973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313BF0FF" w14:textId="77777777" w:rsidR="00041973" w:rsidRPr="003C063F" w:rsidRDefault="00041973" w:rsidP="00041973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63992F8A" w14:textId="77777777" w:rsidR="00041973" w:rsidRPr="003C063F" w:rsidRDefault="00041973" w:rsidP="00041973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06C1B739" w14:textId="77777777" w:rsidR="00041973" w:rsidRPr="003C063F" w:rsidRDefault="00041973" w:rsidP="00041973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509EC35F" w14:textId="77777777" w:rsidR="001C2096" w:rsidRDefault="001C2096"/>
    <w:sectPr w:rsidR="001C2096" w:rsidSect="00B748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A8D2A" w14:textId="77777777" w:rsidR="00E53383" w:rsidRDefault="00E53383">
      <w:pPr>
        <w:spacing w:after="0" w:line="240" w:lineRule="auto"/>
      </w:pPr>
      <w:r>
        <w:separator/>
      </w:r>
    </w:p>
  </w:endnote>
  <w:endnote w:type="continuationSeparator" w:id="0">
    <w:p w14:paraId="62DA44D5" w14:textId="77777777" w:rsidR="00E53383" w:rsidRDefault="00E5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BCED3" w14:textId="77777777" w:rsidR="00E53383" w:rsidRDefault="00E53383">
      <w:pPr>
        <w:spacing w:after="0" w:line="240" w:lineRule="auto"/>
      </w:pPr>
      <w:r>
        <w:separator/>
      </w:r>
    </w:p>
  </w:footnote>
  <w:footnote w:type="continuationSeparator" w:id="0">
    <w:p w14:paraId="22504DD8" w14:textId="77777777" w:rsidR="00E53383" w:rsidRDefault="00E5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93316" w14:textId="1DB01C30" w:rsidR="00071E8D" w:rsidRDefault="00E53383">
    <w:pPr>
      <w:pStyle w:val="a3"/>
      <w:jc w:val="center"/>
    </w:pPr>
  </w:p>
  <w:p w14:paraId="1309CC87" w14:textId="77777777" w:rsidR="00071E8D" w:rsidRDefault="00E533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CB"/>
    <w:rsid w:val="00041973"/>
    <w:rsid w:val="00053571"/>
    <w:rsid w:val="00187E36"/>
    <w:rsid w:val="001C2096"/>
    <w:rsid w:val="001E1A18"/>
    <w:rsid w:val="00296FCB"/>
    <w:rsid w:val="00735455"/>
    <w:rsid w:val="00781134"/>
    <w:rsid w:val="00853051"/>
    <w:rsid w:val="00CB7B17"/>
    <w:rsid w:val="00E53383"/>
    <w:rsid w:val="00F0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F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19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1973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4197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197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4197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041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styleId="a7">
    <w:name w:val="footer"/>
    <w:basedOn w:val="a"/>
    <w:link w:val="a8"/>
    <w:uiPriority w:val="99"/>
    <w:unhideWhenUsed/>
    <w:rsid w:val="001E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1A1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A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19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1973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4197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197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4197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041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styleId="a7">
    <w:name w:val="footer"/>
    <w:basedOn w:val="a"/>
    <w:link w:val="a8"/>
    <w:uiPriority w:val="99"/>
    <w:unhideWhenUsed/>
    <w:rsid w:val="001E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1A1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A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117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4033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Садыкова Дарья Юрьевна</cp:lastModifiedBy>
  <cp:revision>7</cp:revision>
  <cp:lastPrinted>2021-01-29T04:05:00Z</cp:lastPrinted>
  <dcterms:created xsi:type="dcterms:W3CDTF">2021-01-14T07:07:00Z</dcterms:created>
  <dcterms:modified xsi:type="dcterms:W3CDTF">2021-01-29T11:01:00Z</dcterms:modified>
</cp:coreProperties>
</file>