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6" w:rsidRPr="00A411B6" w:rsidRDefault="00A411B6" w:rsidP="00A411B6">
      <w:pPr>
        <w:spacing w:after="0" w:line="240" w:lineRule="auto"/>
        <w:ind w:left="5103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К постановлению администрации </w:t>
      </w:r>
      <w:r w:rsidRPr="00A411B6">
        <w:rPr>
          <w:rFonts w:ascii="Liberation Serif" w:eastAsia="Calibri" w:hAnsi="Liberation Serif" w:cs="Times New Roman"/>
          <w:sz w:val="28"/>
          <w:szCs w:val="28"/>
        </w:rPr>
        <w:br/>
        <w:t xml:space="preserve">городского округа Верхняя Пышма </w:t>
      </w:r>
      <w:r w:rsidRPr="00A411B6">
        <w:rPr>
          <w:rFonts w:ascii="Liberation Serif" w:eastAsia="Calibri" w:hAnsi="Liberation Serif" w:cs="Times New Roman"/>
          <w:sz w:val="28"/>
          <w:szCs w:val="28"/>
        </w:rPr>
        <w:br/>
        <w:t>от  _</w:t>
      </w:r>
      <w:r>
        <w:rPr>
          <w:rFonts w:ascii="Liberation Serif" w:eastAsia="Calibri" w:hAnsi="Liberation Serif" w:cs="Times New Roman"/>
          <w:sz w:val="28"/>
          <w:szCs w:val="28"/>
        </w:rPr>
        <w:t>29.01.2021</w:t>
      </w:r>
      <w:bookmarkStart w:id="0" w:name="_GoBack"/>
      <w:bookmarkEnd w:id="0"/>
      <w:r w:rsidRPr="00A411B6">
        <w:rPr>
          <w:rFonts w:ascii="Liberation Serif" w:eastAsia="Calibri" w:hAnsi="Liberation Serif" w:cs="Times New Roman"/>
          <w:sz w:val="28"/>
          <w:szCs w:val="28"/>
        </w:rPr>
        <w:t>__ № ___</w:t>
      </w:r>
      <w:r>
        <w:rPr>
          <w:rFonts w:ascii="Liberation Serif" w:eastAsia="Calibri" w:hAnsi="Liberation Serif" w:cs="Times New Roman"/>
          <w:sz w:val="28"/>
          <w:szCs w:val="28"/>
        </w:rPr>
        <w:t>62</w:t>
      </w:r>
      <w:r w:rsidRPr="00A411B6">
        <w:rPr>
          <w:rFonts w:ascii="Liberation Serif" w:eastAsia="Calibri" w:hAnsi="Liberation Serif" w:cs="Times New Roman"/>
          <w:sz w:val="28"/>
          <w:szCs w:val="28"/>
        </w:rPr>
        <w:t>_____</w:t>
      </w: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ind w:left="5103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Приложение № 3 к муниципальной программе «Формирование современной комфортной городской среды на территории городского округа Верхняя Пышма на 2018-2024 годы»  в рамках реализации регионального проекта «Формирование комфортной городской среды на территории городского округа Верхняя Пышма»</w:t>
      </w: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411B6">
        <w:rPr>
          <w:rFonts w:ascii="Liberation Serif" w:eastAsia="Calibri" w:hAnsi="Liberation Serif" w:cs="Times New Roman"/>
          <w:b/>
          <w:sz w:val="28"/>
          <w:szCs w:val="28"/>
        </w:rPr>
        <w:t>Раздел 1. Характеристика текущего состояния сферы благоустройства</w:t>
      </w: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411B6">
        <w:rPr>
          <w:rFonts w:ascii="Liberation Serif" w:eastAsia="Calibri" w:hAnsi="Liberation Serif" w:cs="Times New Roman"/>
          <w:b/>
          <w:sz w:val="28"/>
          <w:szCs w:val="28"/>
        </w:rPr>
        <w:t>в городском округе Верхняя Пышма</w:t>
      </w:r>
    </w:p>
    <w:p w:rsidR="00A411B6" w:rsidRPr="00A411B6" w:rsidRDefault="00A411B6" w:rsidP="00A411B6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Создание условий для системного повышения качества и комфорта городской среды на территории городского округа Верхняя Пышма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повышения комфортности условий проживания населения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В целях установления требований к содержанию и благоустройству территорий администрацией городского округа Верхняя Пышма разработаны Правила благоустройства в соответствии с методическими рекомендациями, утвержденными приказом Министерства строительства и жилищно-коммунального хозяйства Российской Федерации от 13 апреля 2017 года № 711/</w:t>
      </w:r>
      <w:proofErr w:type="spellStart"/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пр</w:t>
      </w:r>
      <w:proofErr w:type="spellEnd"/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для обеспечения чистоты и порядка в городском округе Верхняя Пышма, в соответствии с которыми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определены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в том числе правила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проведения земляных работ, правила озеленения, правила содержания собак и иных животных.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В настоящее время уровень благоустройства дворовых территорий многоквартирных домов (далее – дворовые территории) полностью или частично нормативным требованиям не отвечает: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1) асфальтобетонное покрытие большинства придомовых территорий имеет высокий физический износ;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lastRenderedPageBreak/>
        <w:t>2) в ряде дворов отсутствует освещение придомовых территорий, необходимый набор малых архитектурных форм и обустроенных площадок;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3) наличие на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придомовых территориях, сгоревших и разрушенных хозяйственных строений создает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угрозу жизни и здоровью граждан;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4) отсутствие специально обустроенных стоянок для автомобилей приводит к их хаотичной парковке;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5) зеленые насаждения на дворовых территориях представлены, в основном, зрелыми или перестойными деревьями, на газонах не устроены цветники;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6) повышение уровня благоустройства дворовых территорий требует производства работ, в том числе по удалению аварийных деревьев, посадке деревьев и кустарников.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Характеристика текущего состояния сектора благоустройства в городском округе Верхняя Пышма (далее - городской округ):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суммарная площадь дворовых территорий многоквартирных домов в </w:t>
      </w:r>
      <w:proofErr w:type="gramStart"/>
      <w:r w:rsidRPr="00A411B6">
        <w:rPr>
          <w:rFonts w:ascii="Liberation Serif" w:eastAsia="Times New Roman" w:hAnsi="Liberation Serif" w:cs="Times New Roman"/>
          <w:sz w:val="28"/>
          <w:szCs w:val="28"/>
        </w:rPr>
        <w:t>городском</w:t>
      </w:r>
      <w:proofErr w:type="gramEnd"/>
      <w:r w:rsidRPr="00A411B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411B6">
        <w:rPr>
          <w:rFonts w:ascii="Liberation Serif" w:eastAsia="Calibri" w:hAnsi="Liberation Serif" w:cs="Times New Roman"/>
          <w:sz w:val="28"/>
          <w:szCs w:val="28"/>
        </w:rPr>
        <w:t>– 1 400 155,00 кв. м;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общественных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территории в 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>городском округе</w:t>
      </w: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– 30 120 000,00 кв. м;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общее количество дворовых территорий многоквартирных домов в 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>городском округе –</w:t>
      </w: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547 единиц;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общее количество общественных территорий в 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 xml:space="preserve">городском округе </w:t>
      </w:r>
      <w:r w:rsidRPr="00A411B6">
        <w:rPr>
          <w:rFonts w:ascii="Liberation Serif" w:eastAsia="Calibri" w:hAnsi="Liberation Serif" w:cs="Times New Roman"/>
          <w:sz w:val="28"/>
          <w:szCs w:val="28"/>
        </w:rPr>
        <w:t>– 25 единиц;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суммарная площадь дворовых территорий многоквартирных домов в 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>городском округе</w:t>
      </w:r>
      <w:r w:rsidRPr="00A411B6">
        <w:rPr>
          <w:rFonts w:ascii="Liberation Serif" w:eastAsia="Calibri" w:hAnsi="Liberation Serif" w:cs="Times New Roman"/>
          <w:sz w:val="28"/>
          <w:szCs w:val="28"/>
        </w:rPr>
        <w:t>, нуждающихся в благоустройстве – 406 543,00 кв. м;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суммарная площадь общественных территорий в 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>городском округе</w:t>
      </w:r>
      <w:r w:rsidRPr="00A411B6">
        <w:rPr>
          <w:rFonts w:ascii="Liberation Serif" w:eastAsia="Calibri" w:hAnsi="Liberation Serif" w:cs="Times New Roman"/>
          <w:sz w:val="28"/>
          <w:szCs w:val="28"/>
        </w:rPr>
        <w:t>, нуждающихся в благоустройстве – 25 026 559,00 кв. м;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общее количество дворовых территорий многоквартирных домов в 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>городском округе</w:t>
      </w: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, нуждающихся в благоустройстве – 167 единиц. 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общее количество общественных территорий в городском округе, нуждающихся в благоустройстве – 3 единицы.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К повышению уровня благоустройства и качества городской среды необходим последовательный комплексный подход, рассчитанный на 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Реализация</w:t>
      </w:r>
      <w:r w:rsidRPr="00A411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муниципальной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Элементы благоустройства </w:t>
      </w:r>
      <w:r w:rsidRPr="00A411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планируется </w:t>
      </w: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разработать согласно требованиям СП 59.13330,2016 «Доступность зданий и сооружений для маломобильных групп населения», а также в соответствии со СП 35-105-2002 «Реконструкция городской застройки с учетом доступности для инвалидов и других маломобильных групп населения».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частности, одним из основных принципов формирования безопасной и удобной для инвалидов городской среды является создание условий для обеспечения беспрепятственной доступности объектов обслуживания, в местах пользования транспортными коммуникациями, сооружениями, пешеходными путями. Существующий жилищный фонд и объекты обслуживания оборудовать пандусами и специальными дорожками.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В рамках реализации муниципальной программы вводятся следующие основные понятия: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A411B6" w:rsidRPr="00A411B6" w:rsidRDefault="00A411B6" w:rsidP="00A411B6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минимальный перечень видов работ по благоустройству дворовых и общественных территорий содержит покрытие поверхности, обеспечение наружного освещения, установка скамеек и урн (далее – минимальный перечень видов работ по благоустройству);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перечень дополнительных видов работ по благоустройству дворовых и общественных территорий включает: </w:t>
      </w: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</w:rPr>
        <w:t>установка детского игрового оборудования; установка физкультурно-оздоровительных устройств, сооружений, комплексов; организация детских игровых площадок; организация площадок для занятий спортом (за исключением плоскостных сооружений); установка элементов городской мебели; организация площадки для отдыха взрослых; озеленение соответствующей территории; установка малых архитектурных форм (за исключением элементов городской мебели);</w:t>
      </w:r>
      <w:proofErr w:type="gramEnd"/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организация площадки для выгула и дрессировки собак; устройство площадки хозяйственного назначения; обустройство парковки индивидуального транспорта, в том числе с </w:t>
      </w: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оборудованием специальными конструкциями для велосипедов; </w:t>
      </w: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</w:rPr>
        <w:t>устройство плоскостных сооружений (теннисные, хоккейные, футбольные и другие корты; устройство ступеней, лестниц на перепадах рельефа; водоотводные канавы для сбора и отвода воды с дворовой территории; обеспечение условий доступности для инвалидов и других маломобильных групп населения</w:t>
      </w: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(далее – дополнительный перечень работ по благоустройству).</w:t>
      </w:r>
      <w:r w:rsidRPr="00A411B6">
        <w:rPr>
          <w:rFonts w:ascii="Liberation Serif" w:eastAsia="Times New Roman" w:hAnsi="Liberation Serif" w:cs="Calibri"/>
        </w:rPr>
        <w:t xml:space="preserve"> 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п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>окрытия поверхности – твердые (капитальные), мягкие (некапитальные), газонные, комбинированные – в целях обеспечения безопасного и комфортного передвижения по территории;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сопряжения поверхностей – различные виды бортовых камней, </w:t>
      </w:r>
      <w:r w:rsidRPr="00A411B6">
        <w:rPr>
          <w:rFonts w:ascii="Liberation Serif" w:eastAsia="Calibri" w:hAnsi="Liberation Serif" w:cs="Times New Roman"/>
          <w:sz w:val="28"/>
          <w:szCs w:val="28"/>
        </w:rPr>
        <w:lastRenderedPageBreak/>
        <w:t>пандусы, ступени, лестницы;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- озеленение – живые изгороди, боскеты, шпалеры, газоны, цветники, деревья, различные виды посадок – в целях ландшафтной организации территории;</w:t>
      </w:r>
      <w:proofErr w:type="gramEnd"/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ограды – ограждения постоянного назначения в виде живых изгородей из однорядных или многорядных посадок кустарников, из сборных железобетонных элементов, металлических секций и других материалов, разрешенных к использованию;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малые архитектурные формы – элементы монументально-декоративного назначения – декоративные стенки, беседки, цветочницы, вазоны для цветов, скульптуры; водные устройства; городская мебель – различные виды скамей и столов; коммунально-бытовое оборудование – мусоросборники, контейнеры, урны; </w:t>
      </w:r>
      <w:proofErr w:type="gramEnd"/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наружное освещение – светотехническое оборудование, предназначенное для утилитарного, архитектурного, ландшафтного, рекламного и иных видов освещения, соответствующее требованиям, в том числе СП 52.13330.2011. Свод правил.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Естественное и искусственное освещение;</w:t>
      </w:r>
      <w:proofErr w:type="gramEnd"/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игровое и (или) спортивное оборудование – игровые, физкультурно-оздоровительные устройства, сооружения и (или) их комплексы;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площадки (хозяйственного назначения, игр детей, отдыха взрослых, занятий спортом, установки коммунально-бытового оборудования, выгула и дрессировки собак, автомобильные).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Реализуемый проект должен содержать не менее шести элементов благоустройства, включая в обязательном порядке покрытие поверхности, обеспечение наружного освещения, установку скамеек, урн.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Перед началом работ по комплексному благоустройству двора разрабатывается эскизный проект мероприятий, а при необходимости - рабочий проект. Все мероприятия планируются с учетом создания условий для жизнедеятельности инвалидов.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</w:rPr>
      </w:pPr>
      <w:r w:rsidRPr="00A411B6">
        <w:rPr>
          <w:rFonts w:ascii="Liberation Serif" w:eastAsia="Times New Roman" w:hAnsi="Liberation Serif" w:cs="Times New Roman"/>
          <w:color w:val="000000"/>
          <w:sz w:val="28"/>
          <w:szCs w:val="24"/>
        </w:rPr>
        <w:t>Приоритет имеют проекты, выполненные по принципу комплексного подхода к благоустройству соответствующей территории. Количество баллов в соответствии с составом комплекса работ приведено в таблице 1.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32"/>
          <w:szCs w:val="28"/>
        </w:rPr>
      </w:pP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A411B6">
        <w:rPr>
          <w:rFonts w:ascii="Liberation Serif" w:eastAsia="Times New Roman" w:hAnsi="Liberation Serif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7661"/>
      </w:tblGrid>
      <w:tr w:rsidR="00A411B6" w:rsidRPr="00A411B6" w:rsidTr="00A411B6">
        <w:trPr>
          <w:trHeight w:val="529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Комплекс работ</w:t>
            </w:r>
          </w:p>
        </w:tc>
      </w:tr>
      <w:tr w:rsidR="00A411B6" w:rsidRPr="00A411B6" w:rsidTr="00A411B6">
        <w:trPr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установка детского игрового оборудования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установка физкультурно-оздоровительных устройств, сооружений, комплексов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организация детских игровых площадок 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организация площадок для занятий спортом (за исключением плоскостных сооружений) </w:t>
            </w:r>
          </w:p>
        </w:tc>
      </w:tr>
      <w:tr w:rsidR="00A411B6" w:rsidRPr="00A411B6" w:rsidTr="00A411B6">
        <w:trPr>
          <w:trHeight w:val="273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развитие дорожно-</w:t>
            </w:r>
            <w:proofErr w:type="spellStart"/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сети</w:t>
            </w:r>
          </w:p>
        </w:tc>
      </w:tr>
      <w:tr w:rsidR="00A411B6" w:rsidRPr="00A411B6" w:rsidTr="00A411B6">
        <w:trPr>
          <w:trHeight w:val="136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установка элементов городской мебели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организация площадки для отдыха взрослых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озеленение соответствующей территории 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установка малых архитектурных форм (за исключением элементов городской мебели)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устройство ограждения постоянного назначения в виде живых изгородей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наружное освещение соответствующей территории 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организация площадки для выгула и дрессировки собак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устройство площадки хозяйственного назначения 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обустройство парковки индивидуального транспорта, в том числе с оборудованием специальными конструкциями для велосипедов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использование коммунально-бытового оборудования, в том числе на площадках хозяйственного назначения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применение усовершенствованного покрытия на детских площадках и плоскостных сооружениях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устройство плоскостных сооружений (теннисные, хоккейные, футбольные и другие корты)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устройство ступеней, лестниц на перепадах рельефа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водоотводные канавы для сбора и отвода воды с дворовой территории</w:t>
            </w:r>
          </w:p>
        </w:tc>
      </w:tr>
      <w:tr w:rsidR="00A411B6" w:rsidRPr="00A411B6" w:rsidTr="00A411B6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4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обеспечение условий доступности для инвалидов и других маломобильных групп населения</w:t>
            </w:r>
          </w:p>
        </w:tc>
      </w:tr>
    </w:tbl>
    <w:p w:rsidR="00A411B6" w:rsidRPr="00A411B6" w:rsidRDefault="00A411B6" w:rsidP="00A411B6">
      <w:pPr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4"/>
        </w:rPr>
      </w:pPr>
    </w:p>
    <w:p w:rsidR="00A411B6" w:rsidRPr="00A411B6" w:rsidRDefault="00A411B6" w:rsidP="00A411B6">
      <w:pPr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A411B6">
        <w:rPr>
          <w:rFonts w:ascii="Liberation Serif" w:eastAsia="Calibri" w:hAnsi="Liberation Serif" w:cs="Times New Roman"/>
          <w:color w:val="000000"/>
          <w:sz w:val="28"/>
          <w:szCs w:val="24"/>
        </w:rPr>
        <w:t xml:space="preserve">Приоритет имеют проекты, которые выполнены в соответствии с требованиями санитарно-гигиенических и экологических условий, международными стандартами безопасности. Учитывается расположение соответствующей территории в региональной программе по капитальному ремонту общего имущества многоквартирных домов и краткосрочных планах ее реализации, а также в увязке с инженерными коммуникациями и техногенными объектами, программами модернизации инженерных сетей коммунальной </w:t>
      </w: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инфраструктуры муниципального образования для объектов, расположенных на соответствующей территории. Значения и распределение по баллам данного критерия приведены в таблице 2.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A411B6">
        <w:rPr>
          <w:rFonts w:ascii="Liberation Serif" w:eastAsia="Times New Roman" w:hAnsi="Liberation Serif" w:cs="Times New Roman"/>
          <w:color w:val="000000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687"/>
      </w:tblGrid>
      <w:tr w:rsidR="00A411B6" w:rsidRPr="00A411B6" w:rsidTr="00A411B6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Наименование безопасных условий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для соответствующих территорий</w:t>
            </w:r>
          </w:p>
        </w:tc>
      </w:tr>
      <w:tr w:rsidR="00A411B6" w:rsidRPr="00A411B6" w:rsidTr="00A411B6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1) инженерные сети коммунальной инфраструктуры муниципального образования не проходят через соответствующую территорию;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2) площадка хозяйственного назначения удалена от соответствующей территории на безопасное расстояние или (и) расположена с подветренной стороны по отношению к ней;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3) элементы благоустройства проекта сертифицированы;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4) элементы игровых площадок выполнены в соответствии с международными стандартами (ГОСТами) безопасности;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5) выполнены условия доступности для инвалидов и других маломобильных групп населения</w:t>
            </w:r>
          </w:p>
        </w:tc>
      </w:tr>
      <w:tr w:rsidR="00A411B6" w:rsidRPr="00A411B6" w:rsidTr="00A411B6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1) инженерные сети коммунальной инфраструктуры муниципального образования не проходят через соответствующую территорию;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2) элементы благоустройства проекта сертифицированы;</w:t>
            </w:r>
          </w:p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3) выполнены условия доступности для инвалидов и других </w:t>
            </w: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маломобильных групп населения</w:t>
            </w:r>
          </w:p>
        </w:tc>
      </w:tr>
      <w:tr w:rsidR="00A411B6" w:rsidRPr="00A411B6" w:rsidTr="00A411B6"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0 баллов</w:t>
            </w:r>
          </w:p>
        </w:tc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ind w:firstLine="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условия безопасности не продуманы</w:t>
            </w:r>
          </w:p>
        </w:tc>
      </w:tr>
    </w:tbl>
    <w:p w:rsidR="00A411B6" w:rsidRPr="00A411B6" w:rsidRDefault="00A411B6" w:rsidP="00A411B6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A411B6" w:rsidRPr="00A411B6" w:rsidRDefault="00A411B6" w:rsidP="00A411B6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411B6">
        <w:rPr>
          <w:rFonts w:ascii="Liberation Serif" w:eastAsia="Calibri" w:hAnsi="Liberation Serif" w:cs="Times New Roman"/>
          <w:sz w:val="28"/>
          <w:szCs w:val="24"/>
          <w:lang w:eastAsia="ru-RU"/>
        </w:rPr>
        <w:t>Учитывается доля заинтересованных лиц, которым обеспечены комфортные условия при реализации проекта в текущем году (в процентном отношении от общей численности населения). Значения и распределение по баллам данного критерия приведены в таблице 3.</w:t>
      </w:r>
    </w:p>
    <w:p w:rsidR="00A411B6" w:rsidRPr="00A411B6" w:rsidRDefault="00A411B6" w:rsidP="00A411B6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A411B6">
        <w:rPr>
          <w:rFonts w:ascii="Liberation Serif" w:eastAsia="Times New Roman" w:hAnsi="Liberation Serif" w:cs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7790"/>
      </w:tblGrid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Доля заинтересованных лиц, которым обеспечены комфортные условия при реализации проекта (процентов)</w:t>
            </w:r>
          </w:p>
        </w:tc>
      </w:tr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10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более 25</w:t>
            </w:r>
          </w:p>
        </w:tc>
      </w:tr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5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от 10 до 25</w:t>
            </w:r>
          </w:p>
        </w:tc>
      </w:tr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2 балла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от 1 до 10</w:t>
            </w:r>
          </w:p>
        </w:tc>
      </w:tr>
    </w:tbl>
    <w:p w:rsidR="00A411B6" w:rsidRPr="00A411B6" w:rsidRDefault="00A411B6" w:rsidP="00A411B6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A411B6" w:rsidRPr="00A411B6" w:rsidRDefault="00A411B6" w:rsidP="00A411B6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411B6">
        <w:rPr>
          <w:rFonts w:ascii="Liberation Serif" w:eastAsia="Calibri" w:hAnsi="Liberation Serif" w:cs="Times New Roman"/>
          <w:sz w:val="28"/>
          <w:szCs w:val="24"/>
          <w:lang w:eastAsia="ru-RU"/>
        </w:rPr>
        <w:t>Учитывается финансовая дисциплина собственников помещений в многоквартирном доме (размер суммарной задолженности по плате за ремонт и содержание жилья, взносов за капитальный ремонт). Значения и распределение по баллам данного критерия приведены в таблице 4.</w:t>
      </w:r>
    </w:p>
    <w:p w:rsidR="00A411B6" w:rsidRPr="00A411B6" w:rsidRDefault="00A411B6" w:rsidP="00A411B6">
      <w:pPr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A411B6">
        <w:rPr>
          <w:rFonts w:ascii="Liberation Serif" w:eastAsia="Calibri" w:hAnsi="Liberation Serif" w:cs="Times New Roman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7788"/>
      </w:tblGrid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Задолженность от общей суммы начислений (процентов)</w:t>
            </w:r>
          </w:p>
        </w:tc>
      </w:tr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6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до 10</w:t>
            </w:r>
          </w:p>
        </w:tc>
      </w:tr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3 балла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от 10 до 20</w:t>
            </w:r>
          </w:p>
        </w:tc>
      </w:tr>
      <w:tr w:rsidR="00A411B6" w:rsidRPr="00A411B6" w:rsidTr="00A411B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>0 баллов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B6" w:rsidRPr="00A411B6" w:rsidRDefault="00A411B6" w:rsidP="00A411B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411B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свыше 20</w:t>
            </w:r>
          </w:p>
        </w:tc>
      </w:tr>
    </w:tbl>
    <w:p w:rsidR="00A411B6" w:rsidRPr="00A411B6" w:rsidRDefault="00A411B6" w:rsidP="00A411B6">
      <w:pPr>
        <w:spacing w:after="0" w:line="240" w:lineRule="auto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411B6">
        <w:rPr>
          <w:rFonts w:ascii="Liberation Serif" w:eastAsia="Calibri" w:hAnsi="Liberation Serif" w:cs="Times New Roman"/>
          <w:b/>
          <w:sz w:val="28"/>
          <w:szCs w:val="28"/>
        </w:rPr>
        <w:t>Раздел 2. Цели и задачи муниципальной программы.</w:t>
      </w: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A411B6">
        <w:rPr>
          <w:rFonts w:ascii="Liberation Serif" w:eastAsia="Calibri" w:hAnsi="Liberation Serif" w:cs="Times New Roman"/>
          <w:b/>
          <w:sz w:val="28"/>
          <w:szCs w:val="28"/>
        </w:rPr>
        <w:t>Прогноз ожидаемых результатов</w:t>
      </w: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</w:p>
    <w:p w:rsidR="00A411B6" w:rsidRPr="00A411B6" w:rsidRDefault="00A411B6" w:rsidP="00A411B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Приоритеты муниципальной политики городского округа определяются федеральным законодательством, паспортом регионального проекта «Формирование комфортной городской среды на территории Свердловской области» в рамках реализации регионального проекта «Формирование комфортной городской среды на территории Свердловской области». 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В качестве приоритетного направления деятельности в сфере благоустройства на период 2018–2024 годов определяет системное повышение качества и комфортности городской среды путем реализации первоочередных мероприятий по благоустройству, а также проектов комплексного благоустройства дворовых территорий многоквартирных жилых домов и территорий общего пользования, подготовленных с учетом мнения населения.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Основной целью реализация данного приоритетного направления является повышение комфортности и безопасности условий проживания и отдыха граждан на территории городского округа.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lastRenderedPageBreak/>
        <w:t>К задачам муниципальной программы относятся следующие:</w:t>
      </w:r>
      <w:proofErr w:type="gramEnd"/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повышение уровня благоустройства дворовых территорий в городском округе;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повышение уровня благоустройства общественных территорий в городском округе;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увеличение вовлеченности заинтересованных граждан, организаций в реализацию мероприятий по благоустройству территории городского округа.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Ожидаемые результаты</w:t>
      </w:r>
      <w:r w:rsidRPr="00A411B6">
        <w:rPr>
          <w:rFonts w:ascii="Liberation Serif" w:eastAsia="Calibri" w:hAnsi="Liberation Serif" w:cs="Times New Roman"/>
          <w:color w:val="FF0000"/>
          <w:sz w:val="28"/>
          <w:szCs w:val="28"/>
        </w:rPr>
        <w:t xml:space="preserve"> </w:t>
      </w:r>
      <w:r w:rsidRPr="00A411B6">
        <w:rPr>
          <w:rFonts w:ascii="Liberation Serif" w:eastAsia="Calibri" w:hAnsi="Liberation Serif" w:cs="Times New Roman"/>
          <w:sz w:val="28"/>
          <w:szCs w:val="28"/>
        </w:rPr>
        <w:t>реализации муниципальной программы: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количество благоустроенных дворовых территорий составит 437 единиц;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доля благоустроенных дворовых территорий в общем количестве дворовых территорий городского округа, составит 80 процентов;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количество благоустроенных общественных территорий составит 25 единиц;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доля благоустроенных общественных территорий в общем количестве общественных территорий   городского округа, составит 100 процентов.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Сведения о показателях (индикаторах) муниципальной программы приведены в приложении № 1 к муниципальной программе.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A411B6">
        <w:rPr>
          <w:rFonts w:ascii="Liberation Serif" w:eastAsia="Calibri" w:hAnsi="Liberation Serif" w:cs="Times New Roman"/>
          <w:b/>
          <w:sz w:val="28"/>
          <w:szCs w:val="28"/>
        </w:rPr>
        <w:t>Раздел 3. План мероприятий по выполнению муниципальной программы.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Перечень основных мероприятий муниципальной программы представлен в приложении № 2 к муниципальной программе.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Перечень общественных территорий, подлежащих благоустройству, с учетом  физического состояния  общественной  территории  и   необходимости е  благоустройства   определяется  по   результатам   инвентаризации    общественной   территории.  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Физическое состояние дворовой территории и необходимость ее благоустройства определяется по результатам инвентаризации дворовой территории, проведенной в соответствии с требованиями приказа Министерства энергетики и жилищно-коммунального хозяйства Свердловской области от 5.07.2017 № 215 «О порядке проведения инвентаризации дворовых территорий,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 территории муниципальных образований Свердловской области».</w:t>
      </w:r>
      <w:proofErr w:type="gramEnd"/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Исполнители программы:</w:t>
      </w:r>
    </w:p>
    <w:p w:rsidR="00A411B6" w:rsidRPr="00A411B6" w:rsidRDefault="00A411B6" w:rsidP="00A41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- юридические и (или) физические лица, определенные в соответствии с </w:t>
      </w:r>
      <w:hyperlink r:id="rId5" w:history="1">
        <w:r w:rsidRPr="00A411B6">
          <w:rPr>
            <w:rFonts w:ascii="Liberation Serif" w:eastAsia="Calibri" w:hAnsi="Liberation Serif" w:cs="Times New Roman"/>
            <w:color w:val="000000"/>
            <w:sz w:val="28"/>
            <w:szCs w:val="28"/>
            <w:u w:val="single"/>
          </w:rPr>
          <w:t>законодательством</w:t>
        </w:r>
      </w:hyperlink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-</w:t>
      </w:r>
      <w:r w:rsidRPr="00A411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граждане, общественные, научные и иные организации, расположенные в границах благоустраиваемой территории.</w:t>
      </w:r>
    </w:p>
    <w:p w:rsidR="00A411B6" w:rsidRPr="00A411B6" w:rsidRDefault="00A411B6" w:rsidP="00A411B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Общественная комиссия по обеспечению реализации регионального проекта «Формирование комфортной городской среды на территории Свердловской области» на территории городского округа Верхняя Пышма» </w:t>
      </w: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в рамках реализации регионального проекта «Формирование комфортной городской среды на территории Свердловской области» </w:t>
      </w: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Далее -  Общественная комиссия) вправе:</w:t>
      </w:r>
      <w:proofErr w:type="gramEnd"/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-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Верхняя Пышма при условии одобрения решения об исключении указанных</w:t>
      </w:r>
      <w:proofErr w:type="gramEnd"/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территорий из адресного перечня дворовых территорий и общественных территорий Общественной  комиссией в порядке, установленном такой комиссией;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Общественной комиссией в порядке, установленном такой комиссией;</w:t>
      </w:r>
    </w:p>
    <w:p w:rsidR="00A411B6" w:rsidRPr="00A411B6" w:rsidRDefault="00A411B6" w:rsidP="00A41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Контрольной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A411B6">
        <w:rPr>
          <w:rFonts w:ascii="Liberation Serif" w:eastAsia="Calibri" w:hAnsi="Liberation Serif" w:cs="Times New Roman"/>
          <w:color w:val="000000"/>
          <w:sz w:val="28"/>
          <w:szCs w:val="28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A411B6" w:rsidRPr="00A411B6" w:rsidRDefault="00A411B6" w:rsidP="00A411B6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t>Раздел 4. Форма участия (финансовое и (или) трудовое) и доля участия заинтересованных лиц в выполнении минимального перечня работ и дополнительного перечня работ по благоустройству дворовых территорий</w:t>
      </w:r>
    </w:p>
    <w:p w:rsidR="00A411B6" w:rsidRPr="00A411B6" w:rsidRDefault="00A411B6" w:rsidP="00A411B6">
      <w:pPr>
        <w:spacing w:after="0" w:line="240" w:lineRule="auto"/>
        <w:ind w:firstLine="709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Формирование комфортной городской среды на территории городского округа Верхняя Пышма подразумевает повышение уровня вовлеченности граждан, организаций, возможности финансового и трудового участия в реализацию мероприятий программы. 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Настоящий раздел </w:t>
      </w:r>
      <w:proofErr w:type="gramStart"/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устанавливает условия</w:t>
      </w:r>
      <w:proofErr w:type="gramEnd"/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формы участия (финансовое и (или) трудовое) и доли участия заинтересованных лиц в выполнении минимального перечня работ и дополнительного перечня работ по благоустройству дворовых территорий.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- заинтересованные лица).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Заинтересованные лица вправе принять участие в реализации мероприятий по благоустройству дворовой территории, предусмотренных программой, путем выбора формы и доли такого участия.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В реализации мероприятий по благоустройству дворовой территории в рамках минимального и дополнительного перечней работ по благоустройству предусмотрены следующие формы участия заинтересованных лиц, организаций: финансовое и (или) трудовое.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Трудовое участие может быть осуществлено в виде выполнения жителями следующих неоплачиваемых работ, не требующих специальной квалификации: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— подготовка объекта (дворовой территории) к началу работ (земляные работы, снятие старого оборудования, уборка мусора);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— другие работы (покраска оборудования, озеленение территории, посадка деревьев).</w:t>
      </w:r>
    </w:p>
    <w:p w:rsidR="00A411B6" w:rsidRPr="00A411B6" w:rsidRDefault="00A411B6" w:rsidP="00A411B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Решение о форме и доле трудового участия принимается заинтересованными лицами и предоставляется в составе предложения о включении дворовой территории в программу «Формирование современной городской среды на территории городского округа Верхняя Пышма на 2018-2024 годы» </w:t>
      </w: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в рамках реализации регионального проекта «Формирование комфортной городской среды на территории Свердловской области»  </w:t>
      </w: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 собственниками помещений в многоквартирных домах в виде протокольно оформленного решения общего собрания собственников. </w:t>
      </w:r>
      <w:proofErr w:type="gramEnd"/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color w:val="000000"/>
          <w:sz w:val="28"/>
          <w:szCs w:val="28"/>
        </w:rPr>
      </w:pP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>В ходе рассмотрения предложений заинтересованных лиц о включении дворовой территории в программу предложения, в которых предусмотрено и финансовое и трудовое участие имеют преимущество над предложениями, где выбрана только одна форма участия.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</w:rPr>
      </w:pPr>
      <w:r w:rsidRPr="00A411B6">
        <w:rPr>
          <w:rFonts w:ascii="Liberation Serif" w:eastAsia="Times New Roman" w:hAnsi="Liberation Serif" w:cs="Times New Roman"/>
          <w:bCs/>
          <w:color w:val="000000"/>
          <w:sz w:val="28"/>
          <w:szCs w:val="28"/>
        </w:rPr>
        <w:t xml:space="preserve">Финансовое участие предусмотрено (в сумме не менее 5 процентов от общего объема финансирования проекта, предусмотренного локальным сметным расчетом на благоустройство </w:t>
      </w:r>
      <w:r w:rsidRPr="00A411B6">
        <w:rPr>
          <w:rFonts w:ascii="Liberation Serif" w:eastAsia="Times New Roman" w:hAnsi="Liberation Serif" w:cs="Times New Roman"/>
          <w:sz w:val="28"/>
          <w:szCs w:val="28"/>
        </w:rPr>
        <w:t>дворовых территорий, по минимальному перечню</w:t>
      </w:r>
      <w:r w:rsidRPr="00A411B6">
        <w:rPr>
          <w:rFonts w:ascii="Liberation Serif" w:eastAsia="Times New Roman" w:hAnsi="Liberation Serif" w:cs="Times New Roman"/>
          <w:bCs/>
          <w:color w:val="000000"/>
          <w:sz w:val="28"/>
          <w:szCs w:val="28"/>
        </w:rPr>
        <w:t>).</w:t>
      </w:r>
      <w:r w:rsidRPr="00A411B6">
        <w:rPr>
          <w:rFonts w:ascii="Liberation Serif" w:eastAsia="Times New Roman" w:hAnsi="Liberation Serif" w:cs="Calibri"/>
        </w:rPr>
        <w:t xml:space="preserve"> 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</w:rPr>
      </w:pPr>
      <w:proofErr w:type="gramStart"/>
      <w:r w:rsidRPr="00A411B6">
        <w:rPr>
          <w:rFonts w:ascii="Liberation Serif" w:eastAsia="Times New Roman" w:hAnsi="Liberation Serif" w:cs="Times New Roman"/>
          <w:bCs/>
          <w:color w:val="000000"/>
          <w:sz w:val="28"/>
          <w:szCs w:val="28"/>
        </w:rPr>
        <w:t xml:space="preserve">Реализация мероприятий муниципальной программы осуществляется исполнителями муниципальной программы - юридическими и физическими </w:t>
      </w:r>
      <w:r w:rsidRPr="00A411B6">
        <w:rPr>
          <w:rFonts w:ascii="Liberation Serif" w:eastAsia="Times New Roman" w:hAnsi="Liberation Serif" w:cs="Times New Roman"/>
          <w:bCs/>
          <w:color w:val="000000"/>
          <w:sz w:val="28"/>
          <w:szCs w:val="28"/>
        </w:rPr>
        <w:lastRenderedPageBreak/>
        <w:t>лицами, осуществляющими поставку товаров, выполнение работ и (или) оказание услуг для муниципальных нужд в соответствии с законодательством Российской Федерации, в том числе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Нормативное правовое регулирование в сфере реализации муниципальной программы осуществляется в соответствии с Федеральными законами от 10 января 2002 года № 7-ФЗ «Об охране окружающей среды» и от 24 июня 1998 года № 89-ФЗ «Об отходах производства и потребления», постановлением Правительства Российской Федерации от 10.02.2017 №169 «Об утверждении Правил предоставления и распределения субсидий из федерального бюджета бюджетам субъектов Российской Федерации на поддержку государственных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программ субъектов Российской Федерации и 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691/пр.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среды, Приказа Минстроя России от 18 марта 2019 г. № 262/</w:t>
      </w:r>
      <w:proofErr w:type="spellStart"/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пр</w:t>
      </w:r>
      <w:proofErr w:type="spellEnd"/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Постановление Правительства РФ от 09.02.2019 № 106 «О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Федерации» в рамках реализации регионального проекта «Формирование комфортной городской среды на территории Свердловской области» на 2018 – 2024 годы».</w:t>
      </w: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A411B6">
        <w:rPr>
          <w:rFonts w:ascii="Liberation Serif" w:eastAsia="Times New Roman" w:hAnsi="Liberation Serif" w:cs="Times New Roman"/>
          <w:sz w:val="28"/>
          <w:szCs w:val="28"/>
        </w:rPr>
        <w:t>Для реализации мероприятий муниципальной программы подготовлены следующие нормативные акты: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адресный перечень дворовых территорий, нуждающихся благоустройстве (с учетом их физического состояния), подлежащих благоустройству в период 2018-2024 годов;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адресный перечень общественных территорий, нуждающихся </w:t>
      </w: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>благоустройстве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(с учетом их физического состояния), подлежащих благоустройству в период 2018-2024 годов;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адресный перечень объектов недвижимого имущества,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года;</w:t>
      </w:r>
    </w:p>
    <w:p w:rsidR="00A411B6" w:rsidRPr="00A411B6" w:rsidRDefault="00A411B6" w:rsidP="00A411B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- порядок участия и сроков представления, рассмотрения и оценки предложений в муниципальную программу «Формирование современной </w:t>
      </w:r>
      <w:r w:rsidRPr="00A411B6">
        <w:rPr>
          <w:rFonts w:ascii="Liberation Serif" w:eastAsia="Calibri" w:hAnsi="Liberation Serif" w:cs="Times New Roman"/>
          <w:sz w:val="28"/>
          <w:szCs w:val="28"/>
        </w:rPr>
        <w:lastRenderedPageBreak/>
        <w:t>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</w:t>
      </w:r>
      <w:proofErr w:type="gram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Верхняя Пышма;</w:t>
      </w:r>
    </w:p>
    <w:p w:rsidR="00A411B6" w:rsidRPr="00A411B6" w:rsidRDefault="00A411B6" w:rsidP="00A411B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 нормативная стоимость (единичных расценок) элементов благоустройства по проектам дворовых и общественных территорий, реализуемых в рамках муниципальной программы «Формирование комфортной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A411B6" w:rsidRPr="00A411B6" w:rsidRDefault="00A411B6" w:rsidP="00A411B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411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Раздел 5. О</w:t>
      </w:r>
      <w:r w:rsidRPr="00A411B6">
        <w:rPr>
          <w:rFonts w:ascii="Liberation Serif" w:eastAsia="Calibri" w:hAnsi="Liberation Serif" w:cs="Times New Roman"/>
          <w:b/>
          <w:sz w:val="28"/>
          <w:szCs w:val="28"/>
        </w:rPr>
        <w:t>бъем средств, необходимых на реализацию муниципальной программы за счет всех источников финансирования на 2018–2024 годы</w:t>
      </w:r>
    </w:p>
    <w:p w:rsidR="00A411B6" w:rsidRPr="00A411B6" w:rsidRDefault="00A411B6" w:rsidP="00A411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Реализация муниципальной программы осуществляется за счёт следующих источников финансирования: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 за счет средств бюджета Свердловской области;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 за счет средств бюджета городского округа Верхняя Пышма;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- за счёт средств заинтересованных лиц, предусмотренных на </w:t>
      </w:r>
      <w:proofErr w:type="spellStart"/>
      <w:r w:rsidRPr="00A411B6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муниципальной программы.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sz w:val="28"/>
          <w:szCs w:val="28"/>
        </w:rPr>
        <w:t>Размер средств заинтересованных лиц, предусмотренных на </w:t>
      </w:r>
      <w:proofErr w:type="spellStart"/>
      <w:r w:rsidRPr="00A411B6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муниципальной программы, составляет не менее 5 процентов от объема </w:t>
      </w:r>
      <w:r w:rsidRPr="00A411B6">
        <w:rPr>
          <w:rFonts w:ascii="Liberation Serif" w:eastAsia="Calibri" w:hAnsi="Liberation Serif" w:cs="Times New Roman"/>
          <w:bCs/>
          <w:color w:val="000000"/>
          <w:sz w:val="28"/>
          <w:szCs w:val="28"/>
        </w:rPr>
        <w:t xml:space="preserve">финансирования, предусмотренного локальным сметным расчетом на благоустройство </w:t>
      </w:r>
      <w:r w:rsidRPr="00A411B6">
        <w:rPr>
          <w:rFonts w:ascii="Liberation Serif" w:eastAsia="Calibri" w:hAnsi="Liberation Serif" w:cs="Times New Roman"/>
          <w:sz w:val="28"/>
          <w:szCs w:val="28"/>
        </w:rPr>
        <w:t>дворовых территорий, подлежащих направлению на </w:t>
      </w:r>
      <w:proofErr w:type="spellStart"/>
      <w:r w:rsidRPr="00A411B6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мероприятий из минимального перечня работ по благоустройству. Размер средств заинтересованных лиц, предусмотренных на </w:t>
      </w:r>
      <w:proofErr w:type="spellStart"/>
      <w:r w:rsidRPr="00A411B6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муниципальной программы, составляет не менее 20 процентов от объема финансирования, предусмотренного локальным сметным расчетом на благоустройство дворовых территорий, подлежащих направлению на </w:t>
      </w:r>
      <w:proofErr w:type="spellStart"/>
      <w:r w:rsidRPr="00A411B6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A411B6">
        <w:rPr>
          <w:rFonts w:ascii="Liberation Serif" w:eastAsia="Calibri" w:hAnsi="Liberation Serif" w:cs="Times New Roman"/>
          <w:sz w:val="28"/>
          <w:szCs w:val="28"/>
        </w:rPr>
        <w:t xml:space="preserve"> мероприятий из дополнительного перечня работ по благоустройству.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411B6"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</w:rPr>
        <w:t xml:space="preserve">Нормативная стоимость (единичные расценки) работ по благоустройству дворовых и общественных территорий, входящих в состав минимального и дополнительного перечня таких работ, утверждается ежегодно нормативно-правовым актом администрации </w:t>
      </w:r>
      <w:r w:rsidRPr="00A411B6">
        <w:rPr>
          <w:rFonts w:ascii="Liberation Serif" w:eastAsia="Calibri" w:hAnsi="Liberation Serif" w:cs="Times New Roman"/>
          <w:sz w:val="28"/>
          <w:szCs w:val="28"/>
        </w:rPr>
        <w:t>городского округа Верхняя Пышма.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411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мероприятий муниципальной программы и объемы финансирования подлежат корректировке в части программных мероприятий, результатов их реализации и оценки эффективности, исходя из </w:t>
      </w:r>
      <w:r w:rsidRPr="00A411B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возможностей соответствующих бюджетов бюджетной системы Российской Федерации на очередной год и на плановый период.</w:t>
      </w:r>
    </w:p>
    <w:p w:rsidR="00A411B6" w:rsidRPr="00A411B6" w:rsidRDefault="00A411B6" w:rsidP="00A411B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</w:rPr>
      </w:pP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Оценк</w:t>
      </w:r>
      <w:r w:rsidRPr="00A411B6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A411B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расходов на выполнение мероприятий уточняются (по годам) в соответствии с утвержденной проектно</w:t>
      </w:r>
      <w:r w:rsidRPr="00A411B6"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</w:rPr>
        <w:t>-сметной документацией.</w:t>
      </w:r>
    </w:p>
    <w:p w:rsidR="00A411B6" w:rsidRPr="00A411B6" w:rsidRDefault="00A411B6" w:rsidP="00A411B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11B6" w:rsidRPr="00A411B6" w:rsidRDefault="00A411B6" w:rsidP="00A411B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11B6" w:rsidRPr="00A411B6" w:rsidRDefault="00A411B6" w:rsidP="00A411B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11B6" w:rsidRPr="00A411B6" w:rsidRDefault="00A411B6" w:rsidP="00A411B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411B6" w:rsidRPr="00A411B6" w:rsidRDefault="00A411B6" w:rsidP="00A411B6">
      <w:pPr>
        <w:rPr>
          <w:rFonts w:ascii="Calibri" w:eastAsia="Calibri" w:hAnsi="Calibri" w:cs="Times New Roman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6D"/>
    <w:rsid w:val="001D6C88"/>
    <w:rsid w:val="002E6F6D"/>
    <w:rsid w:val="00A411B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117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4034</Words>
  <Characters>22995</Characters>
  <Application>Microsoft Office Word</Application>
  <DocSecurity>0</DocSecurity>
  <Lines>191</Lines>
  <Paragraphs>53</Paragraphs>
  <ScaleCrop>false</ScaleCrop>
  <Company/>
  <LinksUpToDate>false</LinksUpToDate>
  <CharactersWithSpaces>26976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2021-01-29T11:29:00Z</dcterms:created>
  <dcterms:modified xsi:type="dcterms:W3CDTF">2021-01-29T11:31:00Z</dcterms:modified>
</cp:coreProperties>
</file>