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7"/>
        <w:gridCol w:w="1865"/>
        <w:gridCol w:w="430"/>
        <w:gridCol w:w="574"/>
        <w:gridCol w:w="6417"/>
      </w:tblGrid>
      <w:tr w:rsidR="00A13FAA" w:rsidRPr="00A13FAA" w:rsidTr="004C1406">
        <w:trPr>
          <w:trHeight w:val="524"/>
        </w:trPr>
        <w:tc>
          <w:tcPr>
            <w:tcW w:w="9460" w:type="dxa"/>
            <w:gridSpan w:val="5"/>
          </w:tcPr>
          <w:p w:rsidR="00A13FAA" w:rsidRPr="00A13FAA" w:rsidRDefault="00A13FAA" w:rsidP="00A13FAA">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A13FAA">
              <w:rPr>
                <w:rFonts w:ascii="Liberation Serif" w:eastAsia="Times New Roman" w:hAnsi="Liberation Serif" w:cs="Times New Roman"/>
                <w:b/>
                <w:sz w:val="28"/>
                <w:szCs w:val="28"/>
                <w:lang w:eastAsia="ru-RU"/>
              </w:rPr>
              <w:t xml:space="preserve">АДМИНИСТРАЦИЯ ГОРОДСКОГО ОКРУГА </w:t>
            </w:r>
          </w:p>
          <w:p w:rsidR="00A13FAA" w:rsidRPr="00A13FAA" w:rsidRDefault="00A13FAA" w:rsidP="00A13FAA">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A13FAA">
              <w:rPr>
                <w:rFonts w:ascii="Liberation Serif" w:eastAsia="Times New Roman" w:hAnsi="Liberation Serif" w:cs="Times New Roman"/>
                <w:b/>
                <w:sz w:val="28"/>
                <w:szCs w:val="28"/>
                <w:lang w:eastAsia="ru-RU"/>
              </w:rPr>
              <w:t>Верхняя Пышма</w:t>
            </w:r>
          </w:p>
          <w:p w:rsidR="00A13FAA" w:rsidRPr="00A13FAA" w:rsidRDefault="00A13FAA" w:rsidP="00A13FAA">
            <w:pPr>
              <w:spacing w:after="0" w:line="240" w:lineRule="auto"/>
              <w:jc w:val="center"/>
              <w:rPr>
                <w:rFonts w:ascii="Liberation Serif" w:eastAsia="Times New Roman" w:hAnsi="Liberation Serif" w:cs="Times New Roman"/>
                <w:b/>
                <w:spacing w:val="40"/>
                <w:sz w:val="34"/>
                <w:szCs w:val="34"/>
                <w:lang w:eastAsia="ru-RU"/>
              </w:rPr>
            </w:pPr>
            <w:r w:rsidRPr="00A13FAA">
              <w:rPr>
                <w:rFonts w:ascii="Liberation Serif" w:eastAsia="Times New Roman" w:hAnsi="Liberation Serif" w:cs="Times New Roman"/>
                <w:b/>
                <w:spacing w:val="40"/>
                <w:sz w:val="32"/>
                <w:szCs w:val="34"/>
                <w:lang w:eastAsia="ru-RU"/>
              </w:rPr>
              <w:t>ПОСТАНОВЛЕНИЕ</w:t>
            </w:r>
          </w:p>
          <w:p w:rsidR="00A13FAA" w:rsidRPr="00A13FAA" w:rsidRDefault="00A13FAA" w:rsidP="00A13FAA">
            <w:pPr>
              <w:spacing w:after="0" w:line="240" w:lineRule="auto"/>
              <w:jc w:val="center"/>
              <w:rPr>
                <w:rFonts w:ascii="Liberation Serif" w:eastAsia="Times New Roman" w:hAnsi="Liberation Serif" w:cs="Times New Roman"/>
                <w:b/>
                <w:spacing w:val="40"/>
                <w:sz w:val="34"/>
                <w:szCs w:val="34"/>
                <w:lang w:eastAsia="ru-RU"/>
              </w:rPr>
            </w:pPr>
            <w:r w:rsidRPr="00A13FAA">
              <w:rPr>
                <w:rFonts w:ascii="Liberation Serif" w:eastAsia="Times New Roman" w:hAnsi="Liberation Serif" w:cs="Times New Roman"/>
                <w:b/>
                <w:noProof/>
                <w:color w:val="FFFFFF" w:themeColor="background1"/>
                <w:sz w:val="16"/>
                <w:szCs w:val="28"/>
                <w:lang w:eastAsia="ru-RU"/>
              </w:rPr>
              <mc:AlternateContent>
                <mc:Choice Requires="wps">
                  <w:drawing>
                    <wp:anchor distT="0" distB="0" distL="114300" distR="114300" simplePos="0" relativeHeight="251659264" behindDoc="0" locked="0" layoutInCell="1" allowOverlap="1" wp14:anchorId="793F86BE" wp14:editId="152132FE">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r w:rsidRPr="00A13FAA">
              <w:rPr>
                <w:rFonts w:ascii="Liberation Serif" w:eastAsia="Times New Roman" w:hAnsi="Liberation Serif" w:cs="Times New Roman"/>
                <w:b/>
                <w:color w:val="FFFFFF" w:themeColor="background1"/>
                <w:spacing w:val="40"/>
                <w:sz w:val="20"/>
                <w:szCs w:val="34"/>
                <w:lang w:eastAsia="ru-RU"/>
              </w:rPr>
              <w:t>пр</w:t>
            </w:r>
          </w:p>
        </w:tc>
      </w:tr>
      <w:tr w:rsidR="00A13FAA" w:rsidRPr="00A13FAA" w:rsidTr="004C1406">
        <w:trPr>
          <w:trHeight w:val="524"/>
        </w:trPr>
        <w:tc>
          <w:tcPr>
            <w:tcW w:w="284" w:type="dxa"/>
            <w:vAlign w:val="bottom"/>
          </w:tcPr>
          <w:p w:rsidR="00A13FAA" w:rsidRPr="00A13FAA" w:rsidRDefault="00A13FAA" w:rsidP="00A13FAA">
            <w:pPr>
              <w:tabs>
                <w:tab w:val="left" w:leader="underscore" w:pos="9639"/>
              </w:tabs>
              <w:spacing w:after="0" w:line="240" w:lineRule="auto"/>
              <w:rPr>
                <w:rFonts w:ascii="Liberation Serif" w:eastAsia="Times New Roman" w:hAnsi="Liberation Serif" w:cs="Times New Roman"/>
                <w:sz w:val="24"/>
                <w:szCs w:val="28"/>
                <w:lang w:eastAsia="ru-RU"/>
              </w:rPr>
            </w:pPr>
            <w:r w:rsidRPr="00A13FAA">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A13FAA" w:rsidRPr="00A13FAA" w:rsidRDefault="00A13FAA" w:rsidP="00A13FA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A13FAA" w:rsidRPr="00A13FAA" w:rsidRDefault="00A13FAA" w:rsidP="00A13FA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13FAA">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A13FAA" w:rsidRPr="00A13FAA" w:rsidRDefault="00A13FAA" w:rsidP="00A13FAA">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13FAA">
              <w:rPr>
                <w:rFonts w:ascii="Liberation Serif" w:eastAsia="Times New Roman" w:hAnsi="Liberation Serif" w:cs="Times New Roman"/>
                <w:sz w:val="24"/>
                <w:szCs w:val="24"/>
                <w:lang w:eastAsia="ru-RU"/>
              </w:rPr>
              <w:fldChar w:fldCharType="begin"/>
            </w:r>
            <w:r w:rsidRPr="00A13FAA">
              <w:rPr>
                <w:rFonts w:ascii="Liberation Serif" w:eastAsia="Times New Roman" w:hAnsi="Liberation Serif" w:cs="Times New Roman"/>
                <w:sz w:val="24"/>
                <w:szCs w:val="24"/>
                <w:lang w:eastAsia="ru-RU"/>
              </w:rPr>
              <w:instrText xml:space="preserve"> DOCPROPERTY  Рег.№  \* MERGEFORMAT </w:instrText>
            </w:r>
            <w:r w:rsidRPr="00A13FAA">
              <w:rPr>
                <w:rFonts w:ascii="Liberation Serif" w:eastAsia="Times New Roman" w:hAnsi="Liberation Serif" w:cs="Times New Roman"/>
                <w:sz w:val="24"/>
                <w:szCs w:val="24"/>
                <w:lang w:eastAsia="ru-RU"/>
              </w:rPr>
              <w:fldChar w:fldCharType="separate"/>
            </w:r>
            <w:r w:rsidRPr="00A13FAA">
              <w:rPr>
                <w:rFonts w:ascii="Liberation Serif" w:eastAsia="Times New Roman" w:hAnsi="Liberation Serif" w:cs="Times New Roman"/>
                <w:sz w:val="24"/>
                <w:szCs w:val="24"/>
                <w:lang w:eastAsia="ru-RU"/>
              </w:rPr>
              <w:t xml:space="preserve"> </w:t>
            </w:r>
            <w:r w:rsidRPr="00A13FAA">
              <w:rPr>
                <w:rFonts w:ascii="Liberation Serif" w:eastAsia="Times New Roman" w:hAnsi="Liberation Serif" w:cs="Times New Roman"/>
                <w:sz w:val="24"/>
                <w:szCs w:val="24"/>
                <w:lang w:eastAsia="ru-RU"/>
              </w:rPr>
              <w:fldChar w:fldCharType="end"/>
            </w:r>
          </w:p>
        </w:tc>
        <w:tc>
          <w:tcPr>
            <w:tcW w:w="6341" w:type="dxa"/>
            <w:vAlign w:val="bottom"/>
          </w:tcPr>
          <w:p w:rsidR="00A13FAA" w:rsidRPr="00A13FAA" w:rsidRDefault="00A13FAA" w:rsidP="00A13FAA">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A13FAA" w:rsidRPr="00A13FAA" w:rsidTr="004C1406">
        <w:trPr>
          <w:trHeight w:val="130"/>
        </w:trPr>
        <w:tc>
          <w:tcPr>
            <w:tcW w:w="9460" w:type="dxa"/>
            <w:gridSpan w:val="5"/>
          </w:tcPr>
          <w:p w:rsidR="00A13FAA" w:rsidRPr="00A13FAA" w:rsidRDefault="00A13FAA" w:rsidP="00A13FAA">
            <w:pPr>
              <w:spacing w:after="0" w:line="240" w:lineRule="auto"/>
              <w:rPr>
                <w:rFonts w:ascii="Liberation Serif" w:eastAsia="Times New Roman" w:hAnsi="Liberation Serif" w:cs="Times New Roman"/>
                <w:sz w:val="20"/>
                <w:szCs w:val="28"/>
                <w:lang w:eastAsia="ru-RU"/>
              </w:rPr>
            </w:pPr>
          </w:p>
        </w:tc>
      </w:tr>
      <w:tr w:rsidR="00A13FAA" w:rsidRPr="00A13FAA" w:rsidTr="004C1406">
        <w:tc>
          <w:tcPr>
            <w:tcW w:w="9460" w:type="dxa"/>
            <w:gridSpan w:val="5"/>
          </w:tcPr>
          <w:p w:rsidR="00A13FAA" w:rsidRPr="00A13FAA" w:rsidRDefault="00A13FAA" w:rsidP="00A13FAA">
            <w:pPr>
              <w:spacing w:after="0" w:line="240" w:lineRule="auto"/>
              <w:rPr>
                <w:rFonts w:ascii="Liberation Serif" w:eastAsia="Times New Roman" w:hAnsi="Liberation Serif" w:cs="Times New Roman"/>
                <w:sz w:val="20"/>
                <w:szCs w:val="28"/>
                <w:lang w:val="en-US" w:eastAsia="ru-RU"/>
              </w:rPr>
            </w:pPr>
            <w:r w:rsidRPr="00A13FAA">
              <w:rPr>
                <w:rFonts w:ascii="Liberation Serif" w:eastAsia="Times New Roman" w:hAnsi="Liberation Serif" w:cs="Times New Roman"/>
                <w:sz w:val="20"/>
                <w:szCs w:val="28"/>
                <w:lang w:eastAsia="ru-RU"/>
              </w:rPr>
              <w:t>г. Верхняя Пышма</w:t>
            </w:r>
          </w:p>
          <w:p w:rsidR="00A13FAA" w:rsidRPr="00A13FAA" w:rsidRDefault="00A13FAA" w:rsidP="00A13FAA">
            <w:pPr>
              <w:spacing w:after="0" w:line="240" w:lineRule="auto"/>
              <w:rPr>
                <w:rFonts w:ascii="Liberation Serif" w:eastAsia="Times New Roman" w:hAnsi="Liberation Serif" w:cs="Times New Roman"/>
                <w:sz w:val="18"/>
                <w:szCs w:val="28"/>
                <w:lang w:val="en-US" w:eastAsia="ru-RU"/>
              </w:rPr>
            </w:pPr>
          </w:p>
          <w:p w:rsidR="00A13FAA" w:rsidRPr="00A13FAA" w:rsidRDefault="00A13FAA" w:rsidP="00A13FAA">
            <w:pPr>
              <w:spacing w:after="0" w:line="240" w:lineRule="auto"/>
              <w:rPr>
                <w:rFonts w:ascii="Liberation Serif" w:eastAsia="Times New Roman" w:hAnsi="Liberation Serif" w:cs="Times New Roman"/>
                <w:sz w:val="28"/>
                <w:szCs w:val="28"/>
                <w:lang w:val="en-US" w:eastAsia="ru-RU"/>
              </w:rPr>
            </w:pPr>
          </w:p>
        </w:tc>
      </w:tr>
      <w:tr w:rsidR="00A13FAA" w:rsidRPr="00A13FAA" w:rsidTr="004C1406">
        <w:tc>
          <w:tcPr>
            <w:tcW w:w="9460" w:type="dxa"/>
            <w:gridSpan w:val="5"/>
          </w:tcPr>
          <w:p w:rsidR="00A13FAA" w:rsidRPr="00A13FAA" w:rsidRDefault="00A13FAA" w:rsidP="00A13FAA">
            <w:pPr>
              <w:spacing w:after="0" w:line="240" w:lineRule="auto"/>
              <w:jc w:val="center"/>
              <w:rPr>
                <w:rFonts w:ascii="Liberation Serif" w:eastAsia="Times New Roman" w:hAnsi="Liberation Serif" w:cs="Times New Roman"/>
                <w:b/>
                <w:i/>
                <w:sz w:val="28"/>
                <w:szCs w:val="28"/>
                <w:lang w:eastAsia="ru-RU"/>
              </w:rPr>
            </w:pPr>
            <w:r w:rsidRPr="00A13FAA">
              <w:rPr>
                <w:rFonts w:ascii="Liberation Serif" w:eastAsia="Times New Roman" w:hAnsi="Liberation Serif" w:cs="Times New Roman"/>
                <w:b/>
                <w:i/>
                <w:sz w:val="28"/>
                <w:szCs w:val="28"/>
                <w:lang w:eastAsia="ru-RU"/>
              </w:rPr>
              <w:t>Об утверждении Порядка расчета размера платы за пользование жилым помещением (платы за наём) для нанимателей жилых помещений по договорам найма муниципального жилищного фонда городского округа Верхняя Пышма</w:t>
            </w:r>
          </w:p>
        </w:tc>
      </w:tr>
      <w:tr w:rsidR="00A13FAA" w:rsidRPr="00A13FAA" w:rsidTr="004C1406">
        <w:tc>
          <w:tcPr>
            <w:tcW w:w="9460" w:type="dxa"/>
            <w:gridSpan w:val="5"/>
          </w:tcPr>
          <w:p w:rsidR="00A13FAA" w:rsidRPr="00A13FAA" w:rsidRDefault="00A13FAA" w:rsidP="00A13FAA">
            <w:pPr>
              <w:spacing w:after="0" w:line="240" w:lineRule="auto"/>
              <w:jc w:val="center"/>
              <w:rPr>
                <w:rFonts w:ascii="Liberation Serif" w:eastAsia="Times New Roman" w:hAnsi="Liberation Serif" w:cs="Times New Roman"/>
                <w:szCs w:val="28"/>
                <w:lang w:eastAsia="ru-RU"/>
              </w:rPr>
            </w:pPr>
          </w:p>
          <w:p w:rsidR="00A13FAA" w:rsidRPr="00A13FAA" w:rsidRDefault="00A13FAA" w:rsidP="00A13FAA">
            <w:pPr>
              <w:spacing w:after="0" w:line="240" w:lineRule="auto"/>
              <w:jc w:val="center"/>
              <w:rPr>
                <w:rFonts w:ascii="Liberation Serif" w:eastAsia="Times New Roman" w:hAnsi="Liberation Serif" w:cs="Times New Roman"/>
                <w:szCs w:val="28"/>
                <w:lang w:eastAsia="ru-RU"/>
              </w:rPr>
            </w:pPr>
          </w:p>
        </w:tc>
      </w:tr>
    </w:tbl>
    <w:p w:rsidR="00A13FAA" w:rsidRPr="00A13FAA" w:rsidRDefault="00A13FAA" w:rsidP="00A13FAA">
      <w:pPr>
        <w:widowControl w:val="0"/>
        <w:spacing w:after="0" w:line="240" w:lineRule="auto"/>
        <w:jc w:val="both"/>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sz w:val="28"/>
          <w:szCs w:val="28"/>
          <w:lang w:eastAsia="ru-RU"/>
        </w:rPr>
        <w:t xml:space="preserve"> </w:t>
      </w:r>
      <w:r w:rsidRPr="00A13FAA">
        <w:rPr>
          <w:rFonts w:ascii="Liberation Serif" w:eastAsia="Times New Roman" w:hAnsi="Liberation Serif" w:cs="Times New Roman"/>
          <w:sz w:val="28"/>
          <w:szCs w:val="28"/>
          <w:lang w:eastAsia="ru-RU"/>
        </w:rPr>
        <w:tab/>
        <w:t xml:space="preserve">В соответствии с частью 3 статьи 156 Жилищного кодекса Российской Федерации, Федеральным законом от 6 октября 2003 года № 131-ФЗ </w:t>
      </w:r>
      <w:r w:rsidRPr="00A13FAA">
        <w:rPr>
          <w:rFonts w:ascii="Liberation Serif" w:eastAsia="Times New Roman" w:hAnsi="Liberation Serif" w:cs="Times New Roman"/>
          <w:sz w:val="28"/>
          <w:szCs w:val="28"/>
          <w:lang w:eastAsia="ru-RU"/>
        </w:rPr>
        <w:br/>
        <w:t>«Об общих принципах организации местного самоуправления в Российской Федерации», руководствуясь Приказом Министерства строительства и жилищно-коммунального хозяйства РФ от 27 сентября 2016 № 668/пр.</w:t>
      </w:r>
      <w:r w:rsidRPr="00A13FAA">
        <w:rPr>
          <w:rFonts w:ascii="Liberation Serif" w:eastAsia="Times New Roman" w:hAnsi="Liberation Serif" w:cs="Times New Roman"/>
          <w:sz w:val="28"/>
          <w:szCs w:val="28"/>
          <w:lang w:eastAsia="ru-RU"/>
        </w:rPr>
        <w:b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Уставом городского округа Верхняя Пышма, администрация городского округа Верхняя Пышма</w:t>
      </w:r>
    </w:p>
    <w:p w:rsidR="00A13FAA" w:rsidRPr="00A13FAA" w:rsidRDefault="00A13FAA" w:rsidP="00A13FAA">
      <w:pPr>
        <w:widowControl w:val="0"/>
        <w:spacing w:after="0" w:line="240" w:lineRule="auto"/>
        <w:jc w:val="both"/>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b/>
          <w:sz w:val="28"/>
          <w:szCs w:val="28"/>
          <w:lang w:eastAsia="ru-RU"/>
        </w:rPr>
        <w:t>ПОСТАНОВЛЯЕТ:</w:t>
      </w:r>
    </w:p>
    <w:p w:rsidR="00A13FAA" w:rsidRPr="00A13FAA" w:rsidRDefault="00A13FAA" w:rsidP="00A13FAA">
      <w:pPr>
        <w:widowControl w:val="0"/>
        <w:spacing w:after="0" w:line="240" w:lineRule="auto"/>
        <w:ind w:firstLine="709"/>
        <w:jc w:val="both"/>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sz w:val="28"/>
          <w:szCs w:val="28"/>
          <w:lang w:eastAsia="ru-RU"/>
        </w:rPr>
        <w:t>1. Утвердить с 01.03.2021 порядок расчета размера платы за пользование жилым помещением (платы за наём) для нанимателей жилых помещений по договорам найма муниципального жилищного фонда городского округа Верхняя Пышма (прилагается).</w:t>
      </w:r>
    </w:p>
    <w:p w:rsidR="00A13FAA" w:rsidRPr="00A13FAA" w:rsidRDefault="00A13FAA" w:rsidP="00A13FAA">
      <w:pPr>
        <w:widowControl w:val="0"/>
        <w:spacing w:after="0" w:line="240" w:lineRule="auto"/>
        <w:ind w:firstLine="709"/>
        <w:jc w:val="both"/>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sz w:val="28"/>
          <w:szCs w:val="28"/>
          <w:lang w:eastAsia="ru-RU"/>
        </w:rPr>
        <w:t>2. Признать утратившем силу постановление администрации городского округа Верхняя Пышма от 29.12.2018 № 1218 «Об утверждении Порядка расчета размера платы за пользование жилым помещением (платы за наём)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городского округа Верхняя Пышма» с 01.03.2021.</w:t>
      </w:r>
    </w:p>
    <w:p w:rsidR="00A13FAA" w:rsidRPr="00A13FAA" w:rsidRDefault="00A13FAA" w:rsidP="00A13FAA">
      <w:pPr>
        <w:widowControl w:val="0"/>
        <w:spacing w:after="0" w:line="240" w:lineRule="auto"/>
        <w:ind w:firstLine="709"/>
        <w:jc w:val="both"/>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sz w:val="28"/>
          <w:szCs w:val="28"/>
          <w:lang w:eastAsia="ru-RU"/>
        </w:rPr>
        <w:t>3. Опубликовать настоящее постановление в газете «Красное знамя», разместить на официальном интернет-портале правовой информации городского округа Верхняя Пышма (www.верхняяпышма-право.рф), официальном сайте городского округа Верхняя Пышма.</w:t>
      </w:r>
    </w:p>
    <w:p w:rsidR="00A13FAA" w:rsidRPr="00A13FAA" w:rsidRDefault="00A13FAA" w:rsidP="00A13FAA">
      <w:pPr>
        <w:widowControl w:val="0"/>
        <w:spacing w:after="0" w:line="240" w:lineRule="auto"/>
        <w:ind w:firstLine="709"/>
        <w:jc w:val="both"/>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sz w:val="28"/>
          <w:szCs w:val="28"/>
          <w:lang w:eastAsia="ru-RU"/>
        </w:rPr>
        <w:t xml:space="preserve">4. Контроль за выполнением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sidRPr="00A13FAA">
        <w:rPr>
          <w:rFonts w:ascii="Liberation Serif" w:eastAsia="Times New Roman" w:hAnsi="Liberation Serif" w:cs="Times New Roman"/>
          <w:sz w:val="28"/>
          <w:szCs w:val="28"/>
          <w:lang w:eastAsia="ru-RU"/>
        </w:rPr>
        <w:br/>
        <w:t>Невструева Н.В.</w:t>
      </w:r>
    </w:p>
    <w:p w:rsidR="00A13FAA" w:rsidRPr="00A13FAA" w:rsidRDefault="00A13FAA" w:rsidP="00A13FAA">
      <w:pPr>
        <w:widowControl w:val="0"/>
        <w:spacing w:after="0" w:line="240" w:lineRule="auto"/>
        <w:ind w:firstLine="709"/>
        <w:jc w:val="both"/>
        <w:rPr>
          <w:rFonts w:ascii="Liberation Serif" w:eastAsia="Times New Roman" w:hAnsi="Liberation Serif" w:cs="Times New Roman"/>
          <w:szCs w:val="28"/>
          <w:lang w:eastAsia="ru-RU"/>
        </w:rPr>
      </w:pPr>
    </w:p>
    <w:p w:rsidR="00A13FAA" w:rsidRPr="00A13FAA" w:rsidRDefault="00A13FAA" w:rsidP="00A13FAA">
      <w:pPr>
        <w:widowControl w:val="0"/>
        <w:spacing w:after="0" w:line="240" w:lineRule="auto"/>
        <w:ind w:firstLine="709"/>
        <w:jc w:val="both"/>
        <w:rPr>
          <w:rFonts w:ascii="Liberation Serif" w:eastAsia="Times New Roman" w:hAnsi="Liberation Serif" w:cs="Times New Roman"/>
          <w:sz w:val="18"/>
          <w:szCs w:val="28"/>
          <w:lang w:eastAsia="ru-RU"/>
        </w:rPr>
      </w:pPr>
    </w:p>
    <w:tbl>
      <w:tblPr>
        <w:tblW w:w="5000" w:type="pct"/>
        <w:tblCellMar>
          <w:left w:w="0" w:type="dxa"/>
          <w:right w:w="0" w:type="dxa"/>
        </w:tblCellMar>
        <w:tblLook w:val="04A0" w:firstRow="1" w:lastRow="0" w:firstColumn="1" w:lastColumn="0" w:noHBand="0" w:noVBand="1"/>
      </w:tblPr>
      <w:tblGrid>
        <w:gridCol w:w="6311"/>
        <w:gridCol w:w="3384"/>
      </w:tblGrid>
      <w:tr w:rsidR="00A13FAA" w:rsidRPr="00A13FAA" w:rsidTr="004C1406">
        <w:tc>
          <w:tcPr>
            <w:tcW w:w="6237" w:type="dxa"/>
            <w:vAlign w:val="bottom"/>
          </w:tcPr>
          <w:p w:rsidR="00A13FAA" w:rsidRPr="00A13FAA" w:rsidRDefault="00A13FAA" w:rsidP="00A13FAA">
            <w:pPr>
              <w:spacing w:after="0" w:line="240" w:lineRule="auto"/>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sz w:val="28"/>
                <w:szCs w:val="28"/>
                <w:lang w:eastAsia="ru-RU"/>
              </w:rPr>
              <w:t>Глава городского округа</w:t>
            </w:r>
          </w:p>
        </w:tc>
        <w:tc>
          <w:tcPr>
            <w:tcW w:w="3344" w:type="dxa"/>
            <w:vAlign w:val="bottom"/>
          </w:tcPr>
          <w:p w:rsidR="00A13FAA" w:rsidRPr="00A13FAA" w:rsidRDefault="00A13FAA" w:rsidP="00A13FAA">
            <w:pPr>
              <w:spacing w:after="0" w:line="240" w:lineRule="auto"/>
              <w:jc w:val="right"/>
              <w:rPr>
                <w:rFonts w:ascii="Liberation Serif" w:eastAsia="Times New Roman" w:hAnsi="Liberation Serif" w:cs="Times New Roman"/>
                <w:sz w:val="28"/>
                <w:szCs w:val="28"/>
                <w:lang w:eastAsia="ru-RU"/>
              </w:rPr>
            </w:pPr>
            <w:r w:rsidRPr="00A13FAA">
              <w:rPr>
                <w:rFonts w:ascii="Liberation Serif" w:eastAsia="Times New Roman" w:hAnsi="Liberation Serif" w:cs="Times New Roman"/>
                <w:sz w:val="28"/>
                <w:szCs w:val="28"/>
                <w:lang w:eastAsia="ru-RU"/>
              </w:rPr>
              <w:t>И.В. Соломин</w:t>
            </w:r>
          </w:p>
        </w:tc>
      </w:tr>
    </w:tbl>
    <w:p w:rsidR="00A13FAA" w:rsidRPr="00A13FAA" w:rsidRDefault="00A13FAA" w:rsidP="00A13FAA">
      <w:pPr>
        <w:snapToGrid w:val="0"/>
        <w:spacing w:after="0" w:line="240" w:lineRule="auto"/>
        <w:rPr>
          <w:rFonts w:ascii="Liberation Serif" w:eastAsia="Times New Roman" w:hAnsi="Liberation Serif" w:cs="Times New Roman"/>
          <w:sz w:val="20"/>
          <w:szCs w:val="20"/>
          <w:lang w:eastAsia="ru-RU"/>
        </w:rPr>
      </w:pPr>
    </w:p>
    <w:p w:rsidR="00A13FAA" w:rsidRPr="00A13FAA" w:rsidRDefault="00A13FAA" w:rsidP="00A13FAA">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13FAA" w:rsidRPr="003C063F" w:rsidRDefault="00A13FAA" w:rsidP="00A13FAA">
                            <w:pPr>
                              <w:spacing w:after="0" w:line="240" w:lineRule="auto"/>
                              <w:rPr>
                                <w:rFonts w:ascii="Liberation Serif" w:eastAsia="Times New Roman" w:hAnsi="Liberation Serif"/>
                                <w:sz w:val="28"/>
                                <w:szCs w:val="28"/>
                                <w:lang w:eastAsia="ru-RU"/>
                              </w:rPr>
                            </w:pPr>
                            <w:permStart w:id="192248126" w:edGrp="everyone"/>
                            <w:r>
                              <w:rPr>
                                <w:rFonts w:ascii="Liberation Serif" w:eastAsia="Times New Roman" w:hAnsi="Liberation Serif"/>
                                <w:sz w:val="28"/>
                                <w:szCs w:val="28"/>
                                <w:lang w:eastAsia="ru-RU"/>
                              </w:rPr>
                              <w:t xml:space="preserve">Приложение </w:t>
                            </w:r>
                          </w:p>
                          <w:p w:rsidR="00A13FAA" w:rsidRPr="003C063F" w:rsidRDefault="00A13FAA" w:rsidP="00A13F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13FAA" w:rsidRPr="003C063F" w:rsidRDefault="00A13FAA" w:rsidP="00A13F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13FAA" w:rsidRPr="003C063F" w:rsidTr="004A7329">
                              <w:tc>
                                <w:tcPr>
                                  <w:tcW w:w="534" w:type="dxa"/>
                                  <w:shd w:val="clear" w:color="auto" w:fill="auto"/>
                                </w:tcPr>
                                <w:permEnd w:id="192248126"/>
                                <w:p w:rsidR="00A13FAA" w:rsidRPr="003C063F" w:rsidRDefault="00A13F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913391404" w:edGrp="everyone"/>
                              <w:tc>
                                <w:tcPr>
                                  <w:tcW w:w="2126" w:type="dxa"/>
                                  <w:tcBorders>
                                    <w:bottom w:val="single" w:sz="4" w:space="0" w:color="auto"/>
                                  </w:tcBorders>
                                  <w:shd w:val="clear" w:color="auto" w:fill="auto"/>
                                </w:tcPr>
                                <w:p w:rsidR="00A13FAA" w:rsidRPr="003C063F" w:rsidRDefault="00A13F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913391404"/>
                                </w:p>
                              </w:tc>
                              <w:tc>
                                <w:tcPr>
                                  <w:tcW w:w="484" w:type="dxa"/>
                                  <w:shd w:val="clear" w:color="auto" w:fill="auto"/>
                                </w:tcPr>
                                <w:p w:rsidR="00A13FAA" w:rsidRPr="003C063F" w:rsidRDefault="00A13F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488935053" w:edGrp="everyone"/>
                              <w:tc>
                                <w:tcPr>
                                  <w:tcW w:w="1159" w:type="dxa"/>
                                  <w:tcBorders>
                                    <w:bottom w:val="single" w:sz="4" w:space="0" w:color="auto"/>
                                  </w:tcBorders>
                                  <w:shd w:val="clear" w:color="auto" w:fill="auto"/>
                                </w:tcPr>
                                <w:p w:rsidR="00A13FAA" w:rsidRPr="003C063F" w:rsidRDefault="00A13F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88935053"/>
                                </w:p>
                              </w:tc>
                            </w:tr>
                          </w:tbl>
                          <w:p w:rsidR="00A13FAA" w:rsidRPr="003C063F" w:rsidRDefault="00A13FAA" w:rsidP="00A13FAA">
                            <w:pPr>
                              <w:spacing w:after="0" w:line="240" w:lineRule="auto"/>
                              <w:rPr>
                                <w:rFonts w:ascii="Liberation Serif" w:eastAsia="Times New Roman" w:hAnsi="Liberation Serif"/>
                                <w:sz w:val="28"/>
                                <w:szCs w:val="28"/>
                                <w:lang w:eastAsia="ru-RU"/>
                              </w:rPr>
                            </w:pPr>
                          </w:p>
                          <w:p w:rsidR="00A13FAA" w:rsidRPr="003C063F" w:rsidRDefault="00A13FAA" w:rsidP="00A13FAA">
                            <w:pPr>
                              <w:spacing w:after="0" w:line="240" w:lineRule="auto"/>
                              <w:rPr>
                                <w:rFonts w:ascii="Liberation Serif" w:eastAsia="Times New Roman" w:hAnsi="Liberation Serif"/>
                                <w:sz w:val="28"/>
                                <w:szCs w:val="28"/>
                                <w:lang w:eastAsia="ru-RU"/>
                              </w:rPr>
                            </w:pPr>
                          </w:p>
                          <w:p w:rsidR="00A13FAA" w:rsidRPr="003C063F" w:rsidRDefault="00A13FAA" w:rsidP="00A13FAA">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A13FAA" w:rsidRPr="003C063F" w:rsidRDefault="00A13FAA" w:rsidP="00A13FAA">
                      <w:pPr>
                        <w:spacing w:after="0" w:line="240" w:lineRule="auto"/>
                        <w:rPr>
                          <w:rFonts w:ascii="Liberation Serif" w:eastAsia="Times New Roman" w:hAnsi="Liberation Serif"/>
                          <w:sz w:val="28"/>
                          <w:szCs w:val="28"/>
                          <w:lang w:eastAsia="ru-RU"/>
                        </w:rPr>
                      </w:pPr>
                      <w:permStart w:id="192248126" w:edGrp="everyone"/>
                      <w:r>
                        <w:rPr>
                          <w:rFonts w:ascii="Liberation Serif" w:eastAsia="Times New Roman" w:hAnsi="Liberation Serif"/>
                          <w:sz w:val="28"/>
                          <w:szCs w:val="28"/>
                          <w:lang w:eastAsia="ru-RU"/>
                        </w:rPr>
                        <w:t xml:space="preserve">Приложение </w:t>
                      </w:r>
                    </w:p>
                    <w:p w:rsidR="00A13FAA" w:rsidRPr="003C063F" w:rsidRDefault="00A13FAA" w:rsidP="00A13F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13FAA" w:rsidRPr="003C063F" w:rsidRDefault="00A13FAA" w:rsidP="00A13FAA">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13FAA" w:rsidRPr="003C063F" w:rsidTr="004A7329">
                        <w:tc>
                          <w:tcPr>
                            <w:tcW w:w="534" w:type="dxa"/>
                            <w:shd w:val="clear" w:color="auto" w:fill="auto"/>
                          </w:tcPr>
                          <w:permEnd w:id="192248126"/>
                          <w:p w:rsidR="00A13FAA" w:rsidRPr="003C063F" w:rsidRDefault="00A13F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913391404" w:edGrp="everyone"/>
                        <w:tc>
                          <w:tcPr>
                            <w:tcW w:w="2126" w:type="dxa"/>
                            <w:tcBorders>
                              <w:bottom w:val="single" w:sz="4" w:space="0" w:color="auto"/>
                            </w:tcBorders>
                            <w:shd w:val="clear" w:color="auto" w:fill="auto"/>
                          </w:tcPr>
                          <w:p w:rsidR="00A13FAA" w:rsidRPr="003C063F" w:rsidRDefault="00A13F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913391404"/>
                          </w:p>
                        </w:tc>
                        <w:tc>
                          <w:tcPr>
                            <w:tcW w:w="484" w:type="dxa"/>
                            <w:shd w:val="clear" w:color="auto" w:fill="auto"/>
                          </w:tcPr>
                          <w:p w:rsidR="00A13FAA" w:rsidRPr="003C063F" w:rsidRDefault="00A13FAA"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488935053" w:edGrp="everyone"/>
                        <w:tc>
                          <w:tcPr>
                            <w:tcW w:w="1159" w:type="dxa"/>
                            <w:tcBorders>
                              <w:bottom w:val="single" w:sz="4" w:space="0" w:color="auto"/>
                            </w:tcBorders>
                            <w:shd w:val="clear" w:color="auto" w:fill="auto"/>
                          </w:tcPr>
                          <w:p w:rsidR="00A13FAA" w:rsidRPr="003C063F" w:rsidRDefault="00A13FAA"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88935053"/>
                          </w:p>
                        </w:tc>
                      </w:tr>
                    </w:tbl>
                    <w:p w:rsidR="00A13FAA" w:rsidRPr="003C063F" w:rsidRDefault="00A13FAA" w:rsidP="00A13FAA">
                      <w:pPr>
                        <w:spacing w:after="0" w:line="240" w:lineRule="auto"/>
                        <w:rPr>
                          <w:rFonts w:ascii="Liberation Serif" w:eastAsia="Times New Roman" w:hAnsi="Liberation Serif"/>
                          <w:sz w:val="28"/>
                          <w:szCs w:val="28"/>
                          <w:lang w:eastAsia="ru-RU"/>
                        </w:rPr>
                      </w:pPr>
                    </w:p>
                    <w:p w:rsidR="00A13FAA" w:rsidRPr="003C063F" w:rsidRDefault="00A13FAA" w:rsidP="00A13FAA">
                      <w:pPr>
                        <w:spacing w:after="0" w:line="240" w:lineRule="auto"/>
                        <w:rPr>
                          <w:rFonts w:ascii="Liberation Serif" w:eastAsia="Times New Roman" w:hAnsi="Liberation Serif"/>
                          <w:sz w:val="28"/>
                          <w:szCs w:val="28"/>
                          <w:lang w:eastAsia="ru-RU"/>
                        </w:rPr>
                      </w:pPr>
                    </w:p>
                    <w:p w:rsidR="00A13FAA" w:rsidRPr="003C063F" w:rsidRDefault="00A13FAA" w:rsidP="00A13FAA">
                      <w:pPr>
                        <w:rPr>
                          <w:rFonts w:ascii="Liberation Serif" w:hAnsi="Liberation Serif"/>
                        </w:rPr>
                      </w:pPr>
                    </w:p>
                  </w:txbxContent>
                </v:textbox>
              </v:shape>
            </w:pict>
          </mc:Fallback>
        </mc:AlternateContent>
      </w:r>
    </w:p>
    <w:p w:rsidR="00A13FAA" w:rsidRPr="00A13FAA" w:rsidRDefault="00A13FAA" w:rsidP="00A13FAA">
      <w:pPr>
        <w:spacing w:after="0" w:line="240" w:lineRule="auto"/>
        <w:jc w:val="center"/>
        <w:rPr>
          <w:rFonts w:ascii="Liberation Serif" w:eastAsia="Times New Roman" w:hAnsi="Liberation Serif" w:cs="Times New Roman"/>
          <w:sz w:val="28"/>
          <w:szCs w:val="28"/>
          <w:lang w:eastAsia="ru-RU"/>
        </w:rPr>
      </w:pPr>
    </w:p>
    <w:p w:rsidR="00A13FAA" w:rsidRPr="00A13FAA" w:rsidRDefault="00A13FAA" w:rsidP="00A13FAA">
      <w:pPr>
        <w:spacing w:after="0" w:line="240" w:lineRule="auto"/>
        <w:jc w:val="center"/>
        <w:rPr>
          <w:rFonts w:ascii="Liberation Serif" w:eastAsia="Times New Roman" w:hAnsi="Liberation Serif" w:cs="Times New Roman"/>
          <w:sz w:val="28"/>
          <w:szCs w:val="28"/>
          <w:lang w:eastAsia="ru-RU"/>
        </w:rPr>
      </w:pPr>
    </w:p>
    <w:p w:rsidR="00A13FAA" w:rsidRPr="00A13FAA" w:rsidRDefault="00A13FAA" w:rsidP="00A13FAA">
      <w:pPr>
        <w:spacing w:after="0" w:line="240" w:lineRule="auto"/>
        <w:jc w:val="center"/>
        <w:rPr>
          <w:rFonts w:ascii="Liberation Serif" w:eastAsia="Times New Roman" w:hAnsi="Liberation Serif" w:cs="Times New Roman"/>
          <w:sz w:val="28"/>
          <w:szCs w:val="28"/>
          <w:lang w:eastAsia="ru-RU"/>
        </w:rPr>
      </w:pPr>
    </w:p>
    <w:p w:rsidR="00A13FAA" w:rsidRPr="00A13FAA" w:rsidRDefault="00A13FAA" w:rsidP="00A13FAA">
      <w:pPr>
        <w:spacing w:after="0" w:line="240" w:lineRule="auto"/>
        <w:jc w:val="center"/>
        <w:rPr>
          <w:rFonts w:ascii="Liberation Serif" w:eastAsia="Times New Roman" w:hAnsi="Liberation Serif" w:cs="Times New Roman"/>
          <w:sz w:val="28"/>
          <w:szCs w:val="28"/>
          <w:lang w:eastAsia="ru-RU"/>
        </w:rPr>
      </w:pPr>
    </w:p>
    <w:p w:rsidR="00A13FAA" w:rsidRPr="00A13FAA" w:rsidRDefault="00A13FAA" w:rsidP="00A13FAA">
      <w:pPr>
        <w:spacing w:after="0" w:line="240" w:lineRule="auto"/>
        <w:jc w:val="center"/>
        <w:rPr>
          <w:rFonts w:ascii="Liberation Serif" w:eastAsia="Times New Roman" w:hAnsi="Liberation Serif" w:cs="Liberation Serif"/>
          <w:b/>
          <w:bCs/>
          <w:sz w:val="28"/>
          <w:szCs w:val="28"/>
          <w:lang w:eastAsia="ru-RU"/>
        </w:rPr>
      </w:pPr>
      <w:r w:rsidRPr="00A13FAA">
        <w:rPr>
          <w:rFonts w:ascii="Liberation Serif" w:eastAsia="Times New Roman" w:hAnsi="Liberation Serif" w:cs="Liberation Serif"/>
          <w:b/>
          <w:bCs/>
          <w:sz w:val="28"/>
          <w:szCs w:val="28"/>
          <w:lang w:eastAsia="ru-RU"/>
        </w:rPr>
        <w:t>ПОРЯДОК</w:t>
      </w:r>
      <w:r w:rsidRPr="00A13FAA">
        <w:rPr>
          <w:rFonts w:ascii="Liberation Serif" w:eastAsia="Times New Roman" w:hAnsi="Liberation Serif" w:cs="Liberation Serif"/>
          <w:b/>
          <w:bCs/>
          <w:sz w:val="28"/>
          <w:szCs w:val="28"/>
          <w:lang w:eastAsia="ru-RU"/>
        </w:rPr>
        <w:br/>
        <w:t>расчета размера платы за пользование жилым помещением (платы за наём) для нанимателей жилых помещений по договорам найма муниципального жилищного фонда городского округа Верхняя Пышма</w:t>
      </w:r>
    </w:p>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2" w:name="sub_1001"/>
      <w:r w:rsidRPr="00A13FAA">
        <w:rPr>
          <w:rFonts w:ascii="Liberation Serif" w:eastAsia="Times New Roman" w:hAnsi="Liberation Serif" w:cs="Liberation Serif"/>
          <w:sz w:val="28"/>
          <w:szCs w:val="28"/>
          <w:lang w:eastAsia="ru-RU"/>
        </w:rPr>
        <w:t xml:space="preserve">1. Настоящий порядок расчета размера платы за пользование жилым помещением (платы за наём) для нанимателей жилых помещений по договорам найма муниципального жилищного фонда городского округа Верхняя Пышма  (далее – Порядок) разработан в соответствии с </w:t>
      </w:r>
      <w:hyperlink r:id="rId5" w:history="1">
        <w:r w:rsidRPr="00A13FAA">
          <w:rPr>
            <w:rFonts w:ascii="Liberation Serif" w:eastAsia="Times New Roman" w:hAnsi="Liberation Serif" w:cs="Liberation Serif"/>
            <w:sz w:val="28"/>
            <w:szCs w:val="28"/>
            <w:lang w:eastAsia="ru-RU"/>
          </w:rPr>
          <w:t>Жилищным кодексом</w:t>
        </w:r>
      </w:hyperlink>
      <w:r w:rsidRPr="00A13FAA">
        <w:rPr>
          <w:rFonts w:ascii="Liberation Serif" w:eastAsia="Times New Roman" w:hAnsi="Liberation Serif" w:cs="Liberation Serif"/>
          <w:sz w:val="28"/>
          <w:szCs w:val="28"/>
          <w:lang w:eastAsia="ru-RU"/>
        </w:rPr>
        <w:t xml:space="preserve"> Российской Федерации,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Приказом Министерства строительства и жилищно-коммунального хозяйства Российской Федерации от 27 сентября 2016 года № 668/пр., иными нормативными правовыми актами Российской Федерации </w:t>
      </w:r>
      <w:r w:rsidRPr="00A13FAA">
        <w:rPr>
          <w:rFonts w:ascii="Liberation Serif" w:eastAsia="Times New Roman" w:hAnsi="Liberation Serif" w:cs="Liberation Serif"/>
          <w:sz w:val="28"/>
          <w:szCs w:val="28"/>
          <w:lang w:eastAsia="ru-RU"/>
        </w:rPr>
        <w:br/>
        <w:t>и определяет основные принципы формирования размера платы за пользование жилым помещением (платы за наём) в муниципальном жилищном фонде городского округа Верхняя Пышма.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3" w:name="sub_1002"/>
      <w:bookmarkEnd w:id="2"/>
      <w:r w:rsidRPr="00A13FAA">
        <w:rPr>
          <w:rFonts w:ascii="Liberation Serif" w:eastAsia="Times New Roman" w:hAnsi="Liberation Serif" w:cs="Liberation Serif"/>
          <w:sz w:val="28"/>
          <w:szCs w:val="28"/>
          <w:lang w:eastAsia="ru-RU"/>
        </w:rPr>
        <w:t xml:space="preserve">2. Плата за пользование жилым помещением (плата за наём) входит </w:t>
      </w:r>
      <w:r w:rsidRPr="00A13FAA">
        <w:rPr>
          <w:rFonts w:ascii="Liberation Serif" w:eastAsia="Times New Roman" w:hAnsi="Liberation Serif" w:cs="Liberation Serif"/>
          <w:sz w:val="28"/>
          <w:szCs w:val="28"/>
          <w:lang w:eastAsia="ru-RU"/>
        </w:rPr>
        <w:br/>
        <w:t xml:space="preserve">в структуру платы за жилое помещение и коммунальные услуги </w:t>
      </w:r>
      <w:r w:rsidRPr="00A13FAA">
        <w:rPr>
          <w:rFonts w:ascii="Liberation Serif" w:eastAsia="Times New Roman" w:hAnsi="Liberation Serif" w:cs="Liberation Serif"/>
          <w:sz w:val="28"/>
          <w:szCs w:val="28"/>
          <w:lang w:eastAsia="ru-RU"/>
        </w:rPr>
        <w:br/>
        <w:t>и начисляется в виде отдельного платежа.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4" w:name="sub_1003"/>
      <w:bookmarkEnd w:id="3"/>
      <w:r w:rsidRPr="00A13FAA">
        <w:rPr>
          <w:rFonts w:ascii="Liberation Serif" w:eastAsia="Times New Roman" w:hAnsi="Liberation Serif" w:cs="Liberation Serif"/>
          <w:sz w:val="28"/>
          <w:szCs w:val="28"/>
          <w:lang w:eastAsia="ru-RU"/>
        </w:rPr>
        <w:t>3. Плата за пользование жилым помещением (плата за наём) начисляется гражданам, проживающим в муниципальном жилищном фонде по договорам социального найма, договорам найма жилого помещения специализированного жилищного фонда, договорам найма жилого помещения (коммерческого найма).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5" w:name="sub_1004"/>
      <w:bookmarkEnd w:id="4"/>
      <w:r w:rsidRPr="00A13FAA">
        <w:rPr>
          <w:rFonts w:ascii="Liberation Serif" w:eastAsia="Times New Roman" w:hAnsi="Liberation Serif" w:cs="Liberation Serif"/>
          <w:sz w:val="28"/>
          <w:szCs w:val="28"/>
          <w:lang w:eastAsia="ru-RU"/>
        </w:rPr>
        <w:t>4. Плата за пользование жилым помещением (плата за наём) не начисляется гражданам, проживающим в многоквартирных домах, признанных в установленном порядке аварийными и подлежащими сносу или реконструкции, в жилых помещениях, признанных в установленном порядке непригодными для проживания.</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6" w:name="sub_1005"/>
      <w:bookmarkEnd w:id="5"/>
      <w:r w:rsidRPr="00A13FAA">
        <w:rPr>
          <w:rFonts w:ascii="Liberation Serif" w:eastAsia="Times New Roman" w:hAnsi="Liberation Serif" w:cs="Liberation Serif"/>
          <w:sz w:val="28"/>
          <w:szCs w:val="28"/>
          <w:lang w:eastAsia="ru-RU"/>
        </w:rPr>
        <w:t xml:space="preserve">5. Базовый размер платы за пользование жилым помещением (платы </w:t>
      </w:r>
      <w:r w:rsidRPr="00A13FAA">
        <w:rPr>
          <w:rFonts w:ascii="Liberation Serif" w:eastAsia="Times New Roman" w:hAnsi="Liberation Serif" w:cs="Liberation Serif"/>
          <w:sz w:val="28"/>
          <w:szCs w:val="28"/>
          <w:lang w:eastAsia="ru-RU"/>
        </w:rPr>
        <w:br/>
        <w:t xml:space="preserve">за наём) устанавливается на один квадратный метр общей площади жилого помещения и утверждается постановлением администрации городского округа Верхняя Пышма. </w:t>
      </w:r>
      <w:bookmarkStart w:id="7" w:name="sub_1006"/>
      <w:bookmarkEnd w:id="6"/>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 xml:space="preserve">6. Размер платы за пользование жилым помещением (платы за наём) </w:t>
      </w:r>
      <w:r w:rsidRPr="00A13FAA">
        <w:rPr>
          <w:rFonts w:ascii="Liberation Serif" w:eastAsia="Times New Roman" w:hAnsi="Liberation Serif" w:cs="Liberation Serif"/>
          <w:sz w:val="28"/>
          <w:szCs w:val="28"/>
          <w:lang w:eastAsia="ru-RU"/>
        </w:rPr>
        <w:br/>
        <w:t xml:space="preserve">по договорам социального найма, договорам найма жилого помещения </w:t>
      </w:r>
      <w:r w:rsidRPr="00A13FAA">
        <w:rPr>
          <w:rFonts w:ascii="Liberation Serif" w:eastAsia="Times New Roman" w:hAnsi="Liberation Serif" w:cs="Liberation Serif"/>
          <w:sz w:val="28"/>
          <w:szCs w:val="28"/>
          <w:lang w:eastAsia="ru-RU"/>
        </w:rPr>
        <w:lastRenderedPageBreak/>
        <w:t>специализированного жилищного фонда устанавливается в зависимости от качества и благоустройства жилого помещения, месторасположения дома.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8" w:name="sub_1008"/>
      <w:bookmarkEnd w:id="7"/>
      <w:r w:rsidRPr="00A13FAA">
        <w:rPr>
          <w:rFonts w:ascii="Liberation Serif" w:eastAsia="Times New Roman" w:hAnsi="Liberation Serif" w:cs="Liberation Serif"/>
          <w:sz w:val="28"/>
          <w:szCs w:val="28"/>
          <w:lang w:eastAsia="ru-RU"/>
        </w:rPr>
        <w:t>7. Граждане, признанные в установленном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наём).</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9" w:name="sub_1009"/>
      <w:bookmarkEnd w:id="8"/>
      <w:r w:rsidRPr="00A13FAA">
        <w:rPr>
          <w:rFonts w:ascii="Liberation Serif" w:eastAsia="Times New Roman" w:hAnsi="Liberation Serif" w:cs="Liberation Serif"/>
          <w:sz w:val="28"/>
          <w:szCs w:val="28"/>
          <w:lang w:eastAsia="ru-RU"/>
        </w:rPr>
        <w:t xml:space="preserve">8. </w:t>
      </w:r>
      <w:bookmarkStart w:id="10" w:name="sub_1024"/>
      <w:bookmarkEnd w:id="9"/>
      <w:r w:rsidRPr="00A13FAA">
        <w:rPr>
          <w:rFonts w:ascii="Liberation Serif" w:eastAsia="Times New Roman" w:hAnsi="Liberation Serif" w:cs="Liberation Serif"/>
          <w:sz w:val="28"/>
          <w:szCs w:val="28"/>
          <w:lang w:eastAsia="ru-RU"/>
        </w:rPr>
        <w:t>Размер платы за наём j-ого жилого помещения, предоставленного по договору социального найма или договору найма жилого помещения специализированного жилищного фонда, определяется по формуле 1:</w:t>
      </w:r>
    </w:p>
    <w:bookmarkEnd w:id="10"/>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noProof/>
          <w:sz w:val="28"/>
          <w:szCs w:val="28"/>
          <w:lang w:eastAsia="ru-RU"/>
        </w:rPr>
        <w:drawing>
          <wp:inline distT="0" distB="0" distL="0" distR="0">
            <wp:extent cx="135255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228600"/>
                    </a:xfrm>
                    <a:prstGeom prst="rect">
                      <a:avLst/>
                    </a:prstGeom>
                    <a:noFill/>
                    <a:ln>
                      <a:noFill/>
                    </a:ln>
                  </pic:spPr>
                </pic:pic>
              </a:graphicData>
            </a:graphic>
          </wp:inline>
        </w:drawing>
      </w:r>
      <w:r w:rsidRPr="00A13FAA">
        <w:rPr>
          <w:rFonts w:ascii="Liberation Serif" w:eastAsia="Times New Roman" w:hAnsi="Liberation Serif" w:cs="Liberation Serif"/>
          <w:noProof/>
          <w:sz w:val="28"/>
          <w:szCs w:val="28"/>
          <w:lang w:eastAsia="ru-RU"/>
        </w:rPr>
        <w:t xml:space="preserve">                                                                                 (1)</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где:</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Пнj – размер платы за наём j-ого жилого помещения, предоставленного по договору социального найма или договору найма жилого помещения специализированного жилищного фонда;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Нб – базовый размер платы за наём жилого помещения;</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Кj – коэффициент, характеризующий качество и благоустройство жилого помещения, месторасположение дома;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 xml:space="preserve">Кс – коэффициент соответствия платы; </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Величина коэффициента соответствия платы устанавливается исходя из социально-экономических условий в городском округе.</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Пj – общая площадь j-ого жилого помещения, предоставленного по договору социального найма или договору найма жилого помещения специализированного жилищного фонда (кв.м.).</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11" w:name="sub_1025"/>
      <w:r w:rsidRPr="00A13FAA">
        <w:rPr>
          <w:rFonts w:ascii="Liberation Serif" w:eastAsia="Times New Roman" w:hAnsi="Liberation Serif" w:cs="Liberation Serif"/>
          <w:sz w:val="28"/>
          <w:szCs w:val="28"/>
          <w:lang w:eastAsia="ru-RU"/>
        </w:rPr>
        <w:t>9. Базовый размер платы за наём жилого помещения определяется по формуле 2:</w:t>
      </w:r>
    </w:p>
    <w:bookmarkEnd w:id="11"/>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noProof/>
          <w:sz w:val="28"/>
          <w:szCs w:val="28"/>
          <w:lang w:eastAsia="ru-RU"/>
        </w:rPr>
        <w:drawing>
          <wp:inline distT="0" distB="0" distL="0" distR="0">
            <wp:extent cx="1038225"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r w:rsidRPr="00A13FAA">
        <w:rPr>
          <w:rFonts w:ascii="Liberation Serif" w:eastAsia="Times New Roman" w:hAnsi="Liberation Serif" w:cs="Liberation Serif"/>
          <w:noProof/>
          <w:sz w:val="28"/>
          <w:szCs w:val="28"/>
          <w:lang w:eastAsia="ru-RU"/>
        </w:rPr>
        <w:t xml:space="preserve">                                                                                          (2)</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где:</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Нб – базовый размер платы за наём жилого помещения;</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СРс – средняя цена 1 кв.м. на вторичном рынке жилья в Свердловской области.</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12" w:name="sub_1026"/>
      <w:r w:rsidRPr="00A13FAA">
        <w:rPr>
          <w:rFonts w:ascii="Liberation Serif" w:eastAsia="Times New Roman" w:hAnsi="Liberation Serif" w:cs="Liberation Serif"/>
          <w:sz w:val="28"/>
          <w:szCs w:val="28"/>
          <w:lang w:eastAsia="ru-RU"/>
        </w:rPr>
        <w:t>10. Средняя цена 1 кв.м. общей площади квартир на вторичном рынке жилья в Свердловской области, в котором находится жилое помещение муниципального жилищного фонда, предоставляемое по договорам социального найма и договорам найма жилых помещений специализированного жилищного фонда, определяется по актуальным данным Федеральной службы государственной статистики, которые размещаются в свободном доступе в Единой межведомственной информационно-статистической системе (ЕМИСС).</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В случае отсутствия указанной информации по Свердловской области используется средняя цена 1 кв.м. общей площади квартир на вторичном рынке жилья по Уральскому федеральному округу.</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13" w:name="sub_1027"/>
      <w:bookmarkEnd w:id="12"/>
      <w:r w:rsidRPr="00A13FAA">
        <w:rPr>
          <w:rFonts w:ascii="Liberation Serif" w:eastAsia="Times New Roman" w:hAnsi="Liberation Serif" w:cs="Liberation Serif"/>
          <w:sz w:val="28"/>
          <w:szCs w:val="28"/>
          <w:lang w:eastAsia="ru-RU"/>
        </w:rPr>
        <w:lastRenderedPageBreak/>
        <w:t>11. Интегральное значение Кj - для жилого помещения рассчитывается как средневзвешенное значение показателей по отдельным параметрам по формуле 3:</w:t>
      </w:r>
    </w:p>
    <w:bookmarkEnd w:id="13"/>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noProof/>
          <w:sz w:val="28"/>
          <w:szCs w:val="28"/>
          <w:lang w:eastAsia="ru-RU"/>
        </w:rPr>
        <w:drawing>
          <wp:inline distT="0" distB="0" distL="0" distR="0">
            <wp:extent cx="12096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228600"/>
                    </a:xfrm>
                    <a:prstGeom prst="rect">
                      <a:avLst/>
                    </a:prstGeom>
                    <a:noFill/>
                    <a:ln>
                      <a:noFill/>
                    </a:ln>
                  </pic:spPr>
                </pic:pic>
              </a:graphicData>
            </a:graphic>
          </wp:inline>
        </w:drawing>
      </w:r>
      <w:r w:rsidRPr="00A13FAA">
        <w:rPr>
          <w:rFonts w:ascii="Liberation Serif" w:eastAsia="Times New Roman" w:hAnsi="Liberation Serif" w:cs="Liberation Serif"/>
          <w:noProof/>
          <w:sz w:val="28"/>
          <w:szCs w:val="28"/>
          <w:lang w:eastAsia="ru-RU"/>
        </w:rPr>
        <w:t xml:space="preserve">                                                                                      (3)</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где:</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Кj – коэффициент, характеризующий качество и благоустройство жилого помещения, месторасположение дома;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К1 – коэффициент, учитывающий качество жилого помещения;</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К2 – коэффициент, характеризующий благоустройство жилого помещения;</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К3 – коэффициент, учитывающий месторасположение дома.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bookmarkStart w:id="14" w:name="sub_1028"/>
      <w:r w:rsidRPr="00A13FAA">
        <w:rPr>
          <w:rFonts w:ascii="Liberation Serif" w:eastAsia="Times New Roman" w:hAnsi="Liberation Serif" w:cs="Liberation Serif"/>
          <w:sz w:val="28"/>
          <w:szCs w:val="28"/>
          <w:lang w:eastAsia="ru-RU"/>
        </w:rPr>
        <w:t>12. Размер платы за наём жилых помещений муниципального жилищного фонда по договорам найма (коммерческого найма) определяется исходя из размера платы за наём по договору социального найма, договорам найма жилого помещения специализированного жилищного фонда, с применением корректирующего коэффициента – К кор.</w:t>
      </w:r>
    </w:p>
    <w:p w:rsidR="00A13FAA" w:rsidRPr="00A13FAA" w:rsidRDefault="00A13FAA" w:rsidP="00A13FAA">
      <w:pPr>
        <w:spacing w:after="0" w:line="240" w:lineRule="auto"/>
        <w:ind w:firstLine="708"/>
        <w:jc w:val="both"/>
        <w:rPr>
          <w:rFonts w:ascii="Liberation Serif" w:eastAsia="Times New Roman" w:hAnsi="Liberation Serif" w:cs="Liberation Serif"/>
          <w:b/>
          <w:bCs/>
          <w:sz w:val="28"/>
          <w:szCs w:val="28"/>
          <w:lang w:eastAsia="ru-RU"/>
        </w:rPr>
      </w:pPr>
      <w:r w:rsidRPr="00A13FAA">
        <w:rPr>
          <w:rFonts w:ascii="Liberation Serif" w:eastAsia="Times New Roman" w:hAnsi="Liberation Serif" w:cs="Liberation Serif"/>
          <w:sz w:val="28"/>
          <w:szCs w:val="28"/>
          <w:lang w:eastAsia="ru-RU"/>
        </w:rPr>
        <w:t xml:space="preserve">13. </w:t>
      </w:r>
      <w:bookmarkEnd w:id="14"/>
      <w:r w:rsidRPr="00A13FAA">
        <w:rPr>
          <w:rFonts w:ascii="Liberation Serif" w:eastAsia="Times New Roman" w:hAnsi="Liberation Serif" w:cs="Liberation Serif"/>
          <w:bCs/>
          <w:sz w:val="28"/>
          <w:szCs w:val="28"/>
          <w:lang w:eastAsia="ru-RU"/>
        </w:rPr>
        <w:t>Коэффициенты, учитываемые при расчете платы за пользование жилым помещением (платы за наём) для нанимателей жилых помещений по договорам социального найма, договорам найма жилых помещений специализированного жилищного фонда, договорам коммерческого найма муниципального</w:t>
      </w:r>
      <w:r w:rsidRPr="00A13FAA">
        <w:rPr>
          <w:rFonts w:ascii="Calibri" w:eastAsia="Calibri" w:hAnsi="Calibri" w:cs="Times New Roman"/>
        </w:rPr>
        <w:t xml:space="preserve"> </w:t>
      </w:r>
      <w:r w:rsidRPr="00A13FAA">
        <w:rPr>
          <w:rFonts w:ascii="Liberation Serif" w:eastAsia="Times New Roman" w:hAnsi="Liberation Serif" w:cs="Liberation Serif"/>
          <w:bCs/>
          <w:sz w:val="28"/>
          <w:szCs w:val="28"/>
          <w:lang w:eastAsia="ru-RU"/>
        </w:rPr>
        <w:t>жилищного фонда городского округа Верхняя Пышма: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6"/>
        <w:gridCol w:w="2206"/>
        <w:gridCol w:w="218"/>
        <w:gridCol w:w="4915"/>
        <w:gridCol w:w="1946"/>
      </w:tblGrid>
      <w:tr w:rsidR="00A13FAA" w:rsidRPr="00A13FAA" w:rsidTr="004C1406">
        <w:tc>
          <w:tcPr>
            <w:tcW w:w="362"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jc w:val="center"/>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N п/п</w:t>
            </w:r>
          </w:p>
        </w:tc>
        <w:tc>
          <w:tcPr>
            <w:tcW w:w="1159" w:type="pct"/>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ind w:firstLine="55"/>
              <w:jc w:val="center"/>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Наименование показателя</w:t>
            </w:r>
          </w:p>
        </w:tc>
        <w:tc>
          <w:tcPr>
            <w:tcW w:w="2681" w:type="pct"/>
            <w:gridSpan w:val="2"/>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ind w:hanging="6"/>
              <w:jc w:val="center"/>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Характеристика</w:t>
            </w:r>
          </w:p>
        </w:tc>
        <w:tc>
          <w:tcPr>
            <w:tcW w:w="797" w:type="pct"/>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jc w:val="center"/>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Значение коэффициента</w:t>
            </w:r>
          </w:p>
        </w:tc>
      </w:tr>
      <w:tr w:rsidR="00A13FAA" w:rsidRPr="00A13FAA" w:rsidTr="004C1406">
        <w:tc>
          <w:tcPr>
            <w:tcW w:w="5000" w:type="pct"/>
            <w:gridSpan w:val="5"/>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Кс – коэффициент соответствия платы</w:t>
            </w:r>
          </w:p>
        </w:tc>
      </w:tr>
      <w:tr w:rsidR="00A13FAA" w:rsidRPr="00A13FAA" w:rsidTr="004C1406">
        <w:trPr>
          <w:trHeight w:val="1125"/>
        </w:trPr>
        <w:tc>
          <w:tcPr>
            <w:tcW w:w="362" w:type="pct"/>
            <w:vMerge w:val="restart"/>
            <w:tcBorders>
              <w:top w:val="single" w:sz="4" w:space="0" w:color="auto"/>
              <w:left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1</w:t>
            </w:r>
          </w:p>
        </w:tc>
        <w:tc>
          <w:tcPr>
            <w:tcW w:w="1159" w:type="pct"/>
            <w:vMerge w:val="restart"/>
            <w:tcBorders>
              <w:top w:val="single" w:sz="4" w:space="0" w:color="auto"/>
              <w:left w:val="single" w:sz="4" w:space="0" w:color="auto"/>
              <w:right w:val="single" w:sz="4" w:space="0" w:color="auto"/>
            </w:tcBorders>
            <w:hideMark/>
          </w:tcPr>
          <w:p w:rsidR="00A13FAA" w:rsidRPr="00A13FAA" w:rsidRDefault="00A13FAA" w:rsidP="00A13FAA">
            <w:pPr>
              <w:spacing w:after="0" w:line="240" w:lineRule="auto"/>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Категория нанимателей</w:t>
            </w:r>
          </w:p>
        </w:tc>
        <w:tc>
          <w:tcPr>
            <w:tcW w:w="2681" w:type="pct"/>
            <w:gridSpan w:val="2"/>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Наниматели, проживающие в городе Верхняя Пышма.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Наниматели, проживающие в городе Верхняя Пышма, с. Балтым, ул. Васильковая, д. 1, 2, 3, 4, 5, 6, 7, 8, 10, 12, 14, 16</w:t>
            </w:r>
          </w:p>
        </w:tc>
        <w:tc>
          <w:tcPr>
            <w:tcW w:w="797" w:type="pct"/>
            <w:tcBorders>
              <w:top w:val="single" w:sz="4" w:space="0" w:color="auto"/>
              <w:left w:val="single" w:sz="4" w:space="0" w:color="auto"/>
              <w:bottom w:val="single" w:sz="4" w:space="0" w:color="auto"/>
              <w:right w:val="single" w:sz="4" w:space="0" w:color="auto"/>
            </w:tcBorders>
          </w:tcPr>
          <w:p w:rsidR="00A13FAA" w:rsidRPr="00A13FAA" w:rsidRDefault="00A13FAA" w:rsidP="00A13FAA">
            <w:pPr>
              <w:spacing w:after="0" w:line="240" w:lineRule="auto"/>
              <w:jc w:val="center"/>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0,32</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tc>
      </w:tr>
      <w:tr w:rsidR="00A13FAA" w:rsidRPr="00A13FAA" w:rsidTr="004C1406">
        <w:trPr>
          <w:trHeight w:val="1125"/>
        </w:trPr>
        <w:tc>
          <w:tcPr>
            <w:tcW w:w="362" w:type="pct"/>
            <w:vMerge/>
            <w:tcBorders>
              <w:top w:val="single" w:sz="4" w:space="0" w:color="auto"/>
              <w:left w:val="single" w:sz="4" w:space="0" w:color="auto"/>
              <w:bottom w:val="single" w:sz="4" w:space="0" w:color="auto"/>
              <w:right w:val="single" w:sz="4" w:space="0" w:color="auto"/>
            </w:tcBorders>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tc>
        <w:tc>
          <w:tcPr>
            <w:tcW w:w="1159" w:type="pct"/>
            <w:vMerge/>
            <w:tcBorders>
              <w:top w:val="single" w:sz="4" w:space="0" w:color="auto"/>
              <w:left w:val="single" w:sz="4" w:space="0" w:color="auto"/>
              <w:bottom w:val="single" w:sz="4" w:space="0" w:color="auto"/>
              <w:right w:val="single" w:sz="4" w:space="0" w:color="auto"/>
            </w:tcBorders>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tc>
        <w:tc>
          <w:tcPr>
            <w:tcW w:w="2681" w:type="pct"/>
            <w:gridSpan w:val="2"/>
            <w:tcBorders>
              <w:top w:val="single" w:sz="4" w:space="0" w:color="auto"/>
              <w:left w:val="single" w:sz="4" w:space="0" w:color="auto"/>
              <w:bottom w:val="single" w:sz="4" w:space="0" w:color="auto"/>
              <w:right w:val="single" w:sz="4" w:space="0" w:color="auto"/>
            </w:tcBorders>
          </w:tcPr>
          <w:p w:rsidR="00A13FAA" w:rsidRPr="00A13FAA" w:rsidRDefault="00A13FAA" w:rsidP="00A13FAA">
            <w:pPr>
              <w:spacing w:after="0" w:line="240" w:lineRule="auto"/>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 xml:space="preserve">         Наниматели, проживающие в поселках, селах, деревнях</w:t>
            </w:r>
          </w:p>
        </w:tc>
        <w:tc>
          <w:tcPr>
            <w:tcW w:w="797" w:type="pct"/>
            <w:tcBorders>
              <w:top w:val="single" w:sz="4" w:space="0" w:color="auto"/>
              <w:left w:val="single" w:sz="4" w:space="0" w:color="auto"/>
              <w:bottom w:val="single" w:sz="4" w:space="0" w:color="auto"/>
              <w:right w:val="single" w:sz="4" w:space="0" w:color="auto"/>
            </w:tcBorders>
          </w:tcPr>
          <w:p w:rsidR="00A13FAA" w:rsidRPr="00A13FAA" w:rsidRDefault="00A13FAA" w:rsidP="00A13FAA">
            <w:pPr>
              <w:spacing w:after="0" w:line="240" w:lineRule="auto"/>
              <w:jc w:val="center"/>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0,25</w:t>
            </w:r>
          </w:p>
        </w:tc>
      </w:tr>
      <w:tr w:rsidR="00A13FAA" w:rsidRPr="00A13FAA" w:rsidTr="004C1406">
        <w:tc>
          <w:tcPr>
            <w:tcW w:w="5000" w:type="pct"/>
            <w:gridSpan w:val="5"/>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К1 – коэффициент, учитывающий качество жилого помещения</w:t>
            </w:r>
          </w:p>
        </w:tc>
      </w:tr>
      <w:tr w:rsidR="00A13FAA" w:rsidRPr="00A13FAA" w:rsidTr="004C1406">
        <w:tc>
          <w:tcPr>
            <w:tcW w:w="362" w:type="pct"/>
            <w:vMerge w:val="restar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2</w:t>
            </w:r>
          </w:p>
        </w:tc>
        <w:tc>
          <w:tcPr>
            <w:tcW w:w="1159" w:type="pct"/>
            <w:vMerge w:val="restar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Материал стен</w:t>
            </w:r>
          </w:p>
        </w:tc>
        <w:tc>
          <w:tcPr>
            <w:tcW w:w="2681" w:type="pct"/>
            <w:gridSpan w:val="2"/>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Деревянные, рубленные и брусчатые, смешанные сырцовые: фундаменты – ленточные бутовые, стены – рубленные, брусчатые и смешанные (кирпичные и деревянные), перекрытия - деревянные</w:t>
            </w:r>
          </w:p>
        </w:tc>
        <w:tc>
          <w:tcPr>
            <w:tcW w:w="797" w:type="pct"/>
            <w:tcBorders>
              <w:top w:val="single" w:sz="4" w:space="0" w:color="auto"/>
              <w:left w:val="single" w:sz="4" w:space="0" w:color="auto"/>
              <w:bottom w:val="single" w:sz="4" w:space="0" w:color="auto"/>
              <w:right w:val="single" w:sz="4" w:space="0" w:color="auto"/>
            </w:tcBorders>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0,8</w:t>
            </w:r>
          </w:p>
          <w:p w:rsidR="00A13FAA" w:rsidRPr="00A13FAA" w:rsidRDefault="00A13FAA" w:rsidP="00A13FAA">
            <w:pPr>
              <w:spacing w:after="0" w:line="240" w:lineRule="auto"/>
              <w:jc w:val="both"/>
              <w:rPr>
                <w:rFonts w:ascii="Liberation Serif" w:eastAsia="Times New Roman" w:hAnsi="Liberation Serif" w:cs="Liberation Serif"/>
                <w:sz w:val="28"/>
                <w:szCs w:val="28"/>
                <w:lang w:eastAsia="ru-RU"/>
              </w:rPr>
            </w:pPr>
          </w:p>
        </w:tc>
      </w:tr>
      <w:tr w:rsidR="00A13FAA" w:rsidRPr="00A13FAA" w:rsidTr="004C1406">
        <w:tc>
          <w:tcPr>
            <w:tcW w:w="362"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1159"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2681" w:type="pct"/>
            <w:gridSpan w:val="2"/>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 xml:space="preserve">Каменные облегченные: </w:t>
            </w:r>
            <w:r w:rsidRPr="00A13FAA">
              <w:rPr>
                <w:rFonts w:ascii="Liberation Serif" w:eastAsia="Times New Roman" w:hAnsi="Liberation Serif" w:cs="Liberation Serif"/>
                <w:sz w:val="28"/>
                <w:szCs w:val="28"/>
                <w:lang w:eastAsia="ru-RU"/>
              </w:rPr>
              <w:lastRenderedPageBreak/>
              <w:t>фундаменты каменные и бетонные, стены – облегченной кладки из кирпича, шлакоблоков и ракушечника, перекрытия – деревянные, железобетонные или каменные по металлическим балкам</w:t>
            </w:r>
          </w:p>
        </w:tc>
        <w:tc>
          <w:tcPr>
            <w:tcW w:w="797"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lastRenderedPageBreak/>
              <w:t>0,85</w:t>
            </w:r>
          </w:p>
        </w:tc>
      </w:tr>
      <w:tr w:rsidR="00A13FAA" w:rsidRPr="00A13FAA" w:rsidTr="004C1406">
        <w:tc>
          <w:tcPr>
            <w:tcW w:w="362"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1159"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2681" w:type="pct"/>
            <w:gridSpan w:val="2"/>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 xml:space="preserve">Каменные обыкновенные: фундаменты каменные, стены – каменные (кирпичные), крупноблочные и крупнопанельные, перекрытия – железобетонные или смешанные (деревянные и железобетонные), а также каменные своды по металлическим балкам </w:t>
            </w:r>
          </w:p>
        </w:tc>
        <w:tc>
          <w:tcPr>
            <w:tcW w:w="797"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1,0</w:t>
            </w:r>
          </w:p>
        </w:tc>
      </w:tr>
      <w:tr w:rsidR="00A13FAA" w:rsidRPr="00A13FAA" w:rsidTr="004C1406">
        <w:tc>
          <w:tcPr>
            <w:tcW w:w="362"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1159"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2681" w:type="pct"/>
            <w:gridSpan w:val="2"/>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Каменные особокапитальные: фундаменты – каменные и бетонные, стены – каменные (кирпичные) и крупноблочные, перекрытия железобетонные</w:t>
            </w:r>
          </w:p>
        </w:tc>
        <w:tc>
          <w:tcPr>
            <w:tcW w:w="797"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1,3</w:t>
            </w:r>
          </w:p>
        </w:tc>
      </w:tr>
      <w:tr w:rsidR="00A13FAA" w:rsidRPr="00A13FAA" w:rsidTr="004C1406">
        <w:tc>
          <w:tcPr>
            <w:tcW w:w="5000" w:type="pct"/>
            <w:gridSpan w:val="5"/>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К2 – коэффициент, характеризующий благоустройство жилого помещения</w:t>
            </w:r>
          </w:p>
        </w:tc>
      </w:tr>
      <w:tr w:rsidR="00A13FAA" w:rsidRPr="00A13FAA" w:rsidTr="004C1406">
        <w:tc>
          <w:tcPr>
            <w:tcW w:w="362" w:type="pct"/>
            <w:vMerge w:val="restar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3</w:t>
            </w:r>
          </w:p>
        </w:tc>
        <w:tc>
          <w:tcPr>
            <w:tcW w:w="1287" w:type="pct"/>
            <w:gridSpan w:val="2"/>
            <w:vMerge w:val="restar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Уровень благоустройства</w:t>
            </w:r>
          </w:p>
        </w:tc>
        <w:tc>
          <w:tcPr>
            <w:tcW w:w="2553"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Жилые дома, имеющие все виды благоустройства (с централизованным холодным водоснабжением, горячим водоснабжением, отоплением и системой водоотведения, газоснабжением  и (или) электроснабжением</w:t>
            </w:r>
          </w:p>
        </w:tc>
        <w:tc>
          <w:tcPr>
            <w:tcW w:w="797"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1,0</w:t>
            </w:r>
          </w:p>
        </w:tc>
      </w:tr>
      <w:tr w:rsidR="00A13FAA" w:rsidRPr="00A13FAA" w:rsidTr="004C1406">
        <w:tc>
          <w:tcPr>
            <w:tcW w:w="362"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1287" w:type="pct"/>
            <w:gridSpan w:val="2"/>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2553" w:type="pct"/>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Жилые дома, имеющие не все виды благоустройства.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 xml:space="preserve">Жилые дома по адресам: </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г. Верхняя Пышма, ул. Кривоусова, д. 38, ул. Чистова, д. 10, ул. Юбилейная, д. 20, ул. Октябрьская, д. 1, пр-кт Успенский, д. 48, ул. Победы, д. 13;</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п. Ромашка, ул. Балтымская, д. 2,  4;</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п. Исеть, ул. Заводская, д. 11, д. 18, ул. Мира, д. 17;</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с. Балтым, ул. Балтымское шоссе, д. 1</w:t>
            </w:r>
          </w:p>
        </w:tc>
        <w:tc>
          <w:tcPr>
            <w:tcW w:w="797"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0,8</w:t>
            </w:r>
          </w:p>
        </w:tc>
      </w:tr>
      <w:tr w:rsidR="00A13FAA" w:rsidRPr="00A13FAA" w:rsidTr="004C1406">
        <w:tc>
          <w:tcPr>
            <w:tcW w:w="5000" w:type="pct"/>
            <w:gridSpan w:val="5"/>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К3 – коэффициент, учитывающий место расположения дома</w:t>
            </w:r>
          </w:p>
        </w:tc>
      </w:tr>
      <w:tr w:rsidR="00A13FAA" w:rsidRPr="00A13FAA" w:rsidTr="004C1406">
        <w:tc>
          <w:tcPr>
            <w:tcW w:w="362" w:type="pct"/>
            <w:vMerge w:val="restar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4</w:t>
            </w:r>
          </w:p>
        </w:tc>
        <w:tc>
          <w:tcPr>
            <w:tcW w:w="1287" w:type="pct"/>
            <w:gridSpan w:val="2"/>
            <w:vMerge w:val="restar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Район проживания</w:t>
            </w:r>
          </w:p>
        </w:tc>
        <w:tc>
          <w:tcPr>
            <w:tcW w:w="2553"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Город Верхняя Пышма.</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Город Верхняя Пышма, с. Балтым,</w:t>
            </w:r>
            <w:r w:rsidRPr="00A13FAA">
              <w:rPr>
                <w:rFonts w:ascii="Calibri" w:eastAsia="Calibri" w:hAnsi="Calibri" w:cs="Times New Roman"/>
              </w:rPr>
              <w:t xml:space="preserve"> </w:t>
            </w:r>
            <w:r w:rsidRPr="00A13FAA">
              <w:rPr>
                <w:rFonts w:ascii="Liberation Serif" w:eastAsia="Times New Roman" w:hAnsi="Liberation Serif" w:cs="Liberation Serif"/>
                <w:sz w:val="28"/>
                <w:szCs w:val="28"/>
                <w:lang w:eastAsia="ru-RU"/>
              </w:rPr>
              <w:t xml:space="preserve">ул. Васильковая, д. 1, 2, 3, 4, </w:t>
            </w:r>
            <w:r w:rsidRPr="00A13FAA">
              <w:rPr>
                <w:rFonts w:ascii="Liberation Serif" w:eastAsia="Times New Roman" w:hAnsi="Liberation Serif" w:cs="Liberation Serif"/>
                <w:sz w:val="28"/>
                <w:szCs w:val="28"/>
                <w:lang w:eastAsia="ru-RU"/>
              </w:rPr>
              <w:lastRenderedPageBreak/>
              <w:t>5, 6, 7, 8, 10, 12, 14, 16</w:t>
            </w:r>
          </w:p>
        </w:tc>
        <w:tc>
          <w:tcPr>
            <w:tcW w:w="797"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lastRenderedPageBreak/>
              <w:t>1,0</w:t>
            </w:r>
          </w:p>
        </w:tc>
      </w:tr>
      <w:tr w:rsidR="00A13FAA" w:rsidRPr="00A13FAA" w:rsidTr="004C1406">
        <w:tc>
          <w:tcPr>
            <w:tcW w:w="362" w:type="pct"/>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1287" w:type="pct"/>
            <w:gridSpan w:val="2"/>
            <w:vMerge/>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rPr>
                <w:rFonts w:ascii="Liberation Serif" w:eastAsia="Times New Roman" w:hAnsi="Liberation Serif" w:cs="Liberation Serif"/>
                <w:sz w:val="28"/>
                <w:szCs w:val="28"/>
                <w:lang w:eastAsia="ru-RU"/>
              </w:rPr>
            </w:pPr>
          </w:p>
        </w:tc>
        <w:tc>
          <w:tcPr>
            <w:tcW w:w="2553" w:type="pct"/>
            <w:tcBorders>
              <w:top w:val="single" w:sz="4" w:space="0" w:color="auto"/>
              <w:left w:val="single" w:sz="4" w:space="0" w:color="auto"/>
              <w:bottom w:val="single" w:sz="4" w:space="0" w:color="auto"/>
              <w:right w:val="single" w:sz="4" w:space="0" w:color="auto"/>
            </w:tcBorders>
            <w:vAlign w:val="center"/>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Поселок, село, деревня</w:t>
            </w: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tc>
        <w:tc>
          <w:tcPr>
            <w:tcW w:w="797"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0,8</w:t>
            </w:r>
          </w:p>
        </w:tc>
      </w:tr>
      <w:tr w:rsidR="00A13FAA" w:rsidRPr="00A13FAA" w:rsidTr="004C1406">
        <w:tc>
          <w:tcPr>
            <w:tcW w:w="5000" w:type="pct"/>
            <w:gridSpan w:val="5"/>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К кор. – Корректирующий коэффициент по договорам коммерческого найма</w:t>
            </w:r>
          </w:p>
        </w:tc>
      </w:tr>
      <w:tr w:rsidR="00A13FAA" w:rsidRPr="00A13FAA" w:rsidTr="004C1406">
        <w:tc>
          <w:tcPr>
            <w:tcW w:w="362" w:type="pct"/>
            <w:tcBorders>
              <w:top w:val="single" w:sz="4" w:space="0" w:color="auto"/>
              <w:left w:val="single" w:sz="4" w:space="0" w:color="auto"/>
              <w:bottom w:val="single" w:sz="4" w:space="0" w:color="auto"/>
              <w:right w:val="single" w:sz="4" w:space="0" w:color="auto"/>
            </w:tcBorders>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5</w:t>
            </w:r>
          </w:p>
        </w:tc>
        <w:tc>
          <w:tcPr>
            <w:tcW w:w="1287" w:type="pct"/>
            <w:gridSpan w:val="2"/>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Договор найма (коммерческого найма)</w:t>
            </w:r>
          </w:p>
        </w:tc>
        <w:tc>
          <w:tcPr>
            <w:tcW w:w="2553" w:type="pct"/>
            <w:tcBorders>
              <w:top w:val="single" w:sz="4" w:space="0" w:color="auto"/>
              <w:left w:val="single" w:sz="4" w:space="0" w:color="auto"/>
              <w:bottom w:val="single" w:sz="4" w:space="0" w:color="auto"/>
              <w:right w:val="single" w:sz="4" w:space="0" w:color="auto"/>
            </w:tcBorders>
            <w:vAlign w:val="center"/>
            <w:hideMark/>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Городской округ Верхняя Пышма</w:t>
            </w:r>
          </w:p>
        </w:tc>
        <w:tc>
          <w:tcPr>
            <w:tcW w:w="797" w:type="pct"/>
            <w:tcBorders>
              <w:top w:val="single" w:sz="4" w:space="0" w:color="auto"/>
              <w:left w:val="single" w:sz="4" w:space="0" w:color="auto"/>
              <w:bottom w:val="single" w:sz="4" w:space="0" w:color="auto"/>
              <w:right w:val="single" w:sz="4" w:space="0" w:color="auto"/>
            </w:tcBorders>
          </w:tcPr>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r w:rsidRPr="00A13FAA">
              <w:rPr>
                <w:rFonts w:ascii="Liberation Serif" w:eastAsia="Times New Roman" w:hAnsi="Liberation Serif" w:cs="Liberation Serif"/>
                <w:sz w:val="28"/>
                <w:szCs w:val="28"/>
                <w:lang w:eastAsia="ru-RU"/>
              </w:rPr>
              <w:t>2</w:t>
            </w:r>
          </w:p>
        </w:tc>
      </w:tr>
    </w:tbl>
    <w:p w:rsidR="00A13FAA" w:rsidRPr="00A13FAA" w:rsidRDefault="00A13FAA" w:rsidP="00A13FAA">
      <w:pPr>
        <w:spacing w:after="0" w:line="240" w:lineRule="auto"/>
        <w:ind w:firstLine="708"/>
        <w:jc w:val="both"/>
        <w:rPr>
          <w:rFonts w:ascii="Liberation Serif" w:eastAsia="Times New Roman" w:hAnsi="Liberation Serif" w:cs="Liberation Serif"/>
          <w:sz w:val="28"/>
          <w:szCs w:val="28"/>
          <w:lang w:eastAsia="ru-RU"/>
        </w:rPr>
      </w:pPr>
    </w:p>
    <w:p w:rsidR="00A13FAA" w:rsidRPr="00A13FAA" w:rsidRDefault="00A13FAA" w:rsidP="00A13FAA">
      <w:pPr>
        <w:spacing w:after="0" w:line="240" w:lineRule="auto"/>
        <w:rPr>
          <w:rFonts w:ascii="Liberation Serif" w:eastAsia="Times New Roman" w:hAnsi="Liberation Serif" w:cs="Times New Roman"/>
          <w:sz w:val="28"/>
          <w:szCs w:val="28"/>
          <w:lang w:eastAsia="ru-RU"/>
        </w:rPr>
      </w:pPr>
    </w:p>
    <w:p w:rsidR="00E4264B" w:rsidRDefault="00E4264B"/>
    <w:sectPr w:rsidR="00E4264B" w:rsidSect="00A13FAA">
      <w:headerReference w:type="default" r:id="rId9"/>
      <w:footerReference w:type="default" r:id="rId10"/>
      <w:headerReference w:type="first" r:id="rId11"/>
      <w:footerReference w:type="first" r:id="rId12"/>
      <w:pgSz w:w="11906" w:h="16838"/>
      <w:pgMar w:top="1077" w:right="567" w:bottom="1077" w:left="164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A13FAA" w:rsidP="00810AAA">
    <w:pPr>
      <w:pStyle w:val="a5"/>
      <w:jc w:val="right"/>
      <w:rPr>
        <w:sz w:val="20"/>
        <w:szCs w:val="20"/>
      </w:rPr>
    </w:pPr>
    <w:r w:rsidRPr="00EC798A">
      <w:rPr>
        <w:sz w:val="20"/>
        <w:szCs w:val="20"/>
      </w:rPr>
      <w:t>Вр-321949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A13FAA" w:rsidP="007B0005">
    <w:pPr>
      <w:pStyle w:val="a5"/>
      <w:jc w:val="right"/>
      <w:rPr>
        <w:sz w:val="20"/>
        <w:szCs w:val="20"/>
      </w:rPr>
    </w:pPr>
    <w:r w:rsidRPr="00EC798A">
      <w:rPr>
        <w:sz w:val="20"/>
        <w:szCs w:val="20"/>
      </w:rPr>
      <w:t>Вр-321949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970670018" w:edGrp="everyone"/>
  <w:p w:rsidR="00AF0248" w:rsidRDefault="00A13FAA">
    <w:pPr>
      <w:pStyle w:val="a3"/>
      <w:jc w:val="center"/>
    </w:pPr>
    <w:r>
      <w:fldChar w:fldCharType="begin"/>
    </w:r>
    <w:r>
      <w:instrText xml:space="preserve"> PAGE   \* MERGEFORMAT </w:instrText>
    </w:r>
    <w:r>
      <w:fldChar w:fldCharType="separate"/>
    </w:r>
    <w:r>
      <w:rPr>
        <w:noProof/>
      </w:rPr>
      <w:t>2</w:t>
    </w:r>
    <w:r>
      <w:fldChar w:fldCharType="end"/>
    </w:r>
  </w:p>
  <w:permEnd w:id="970670018"/>
  <w:p w:rsidR="00810AAA" w:rsidRPr="00810AAA" w:rsidRDefault="00A13FA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A13FAA" w:rsidP="00810AAA">
    <w:pPr>
      <w:pStyle w:val="a3"/>
      <w:jc w:val="center"/>
    </w:pPr>
    <w:permStart w:id="483148624" w:edGrp="everyone"/>
    <w:permEnd w:id="48314862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E51"/>
    <w:rsid w:val="001D6C88"/>
    <w:rsid w:val="00A13FAA"/>
    <w:rsid w:val="00B05E51"/>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3F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13FAA"/>
    <w:rPr>
      <w:rFonts w:ascii="Times New Roman" w:eastAsia="Times New Roman" w:hAnsi="Times New Roman" w:cs="Times New Roman"/>
      <w:sz w:val="24"/>
      <w:szCs w:val="24"/>
      <w:lang w:eastAsia="ru-RU"/>
    </w:rPr>
  </w:style>
  <w:style w:type="paragraph" w:styleId="a5">
    <w:name w:val="footer"/>
    <w:basedOn w:val="a"/>
    <w:link w:val="a6"/>
    <w:rsid w:val="00A13F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13FA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13F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3F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3F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13FAA"/>
    <w:rPr>
      <w:rFonts w:ascii="Times New Roman" w:eastAsia="Times New Roman" w:hAnsi="Times New Roman" w:cs="Times New Roman"/>
      <w:sz w:val="24"/>
      <w:szCs w:val="24"/>
      <w:lang w:eastAsia="ru-RU"/>
    </w:rPr>
  </w:style>
  <w:style w:type="paragraph" w:styleId="a5">
    <w:name w:val="footer"/>
    <w:basedOn w:val="a"/>
    <w:link w:val="a6"/>
    <w:rsid w:val="00A13F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13FAA"/>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13F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3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hyperlink" Target="http://mobileonline.garant.ru/document/redirect/12138291/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2021-03-04T12:14:00Z</dcterms:created>
  <dcterms:modified xsi:type="dcterms:W3CDTF">2021-03-04T12:15:00Z</dcterms:modified>
</cp:coreProperties>
</file>