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B3" w:rsidRDefault="00B82CB3" w:rsidP="00B82CB3">
      <w:pPr>
        <w:spacing w:after="0" w:line="240" w:lineRule="auto"/>
        <w:ind w:left="5387"/>
        <w:rPr>
          <w:sz w:val="24"/>
        </w:rPr>
      </w:pPr>
      <w:r>
        <w:rPr>
          <w:sz w:val="24"/>
        </w:rPr>
        <w:t>Приложение</w:t>
      </w:r>
    </w:p>
    <w:p w:rsidR="00B82CB3" w:rsidRDefault="00B82CB3" w:rsidP="00B82CB3">
      <w:pPr>
        <w:spacing w:after="0" w:line="240" w:lineRule="auto"/>
        <w:ind w:left="5387"/>
        <w:rPr>
          <w:sz w:val="24"/>
        </w:rPr>
      </w:pPr>
      <w:r>
        <w:rPr>
          <w:sz w:val="24"/>
        </w:rPr>
        <w:t>к постановлению администрации</w:t>
      </w:r>
    </w:p>
    <w:p w:rsidR="00B82CB3" w:rsidRDefault="00B82CB3" w:rsidP="00B82CB3">
      <w:pPr>
        <w:spacing w:after="0" w:line="240" w:lineRule="auto"/>
        <w:ind w:left="5387"/>
        <w:rPr>
          <w:sz w:val="24"/>
        </w:rPr>
      </w:pPr>
      <w:r>
        <w:rPr>
          <w:sz w:val="24"/>
        </w:rPr>
        <w:t xml:space="preserve">городского округа Верхняя Пышма </w:t>
      </w:r>
    </w:p>
    <w:p w:rsidR="00B82CB3" w:rsidRPr="00B82CB3" w:rsidRDefault="00B82CB3" w:rsidP="00B82CB3">
      <w:pPr>
        <w:spacing w:after="0" w:line="240" w:lineRule="auto"/>
        <w:ind w:left="5387"/>
        <w:rPr>
          <w:sz w:val="24"/>
        </w:rPr>
      </w:pPr>
      <w:r>
        <w:rPr>
          <w:sz w:val="24"/>
        </w:rPr>
        <w:t>от ___</w:t>
      </w:r>
      <w:r w:rsidR="005F3EFB">
        <w:rPr>
          <w:sz w:val="24"/>
        </w:rPr>
        <w:t>12.08.2021</w:t>
      </w:r>
      <w:r>
        <w:rPr>
          <w:sz w:val="24"/>
        </w:rPr>
        <w:t>___№__</w:t>
      </w:r>
      <w:r w:rsidR="005F3EFB">
        <w:rPr>
          <w:sz w:val="24"/>
        </w:rPr>
        <w:t>690</w:t>
      </w:r>
      <w:bookmarkStart w:id="0" w:name="_GoBack"/>
      <w:bookmarkEnd w:id="0"/>
      <w:r>
        <w:rPr>
          <w:sz w:val="24"/>
        </w:rPr>
        <w:t>__</w:t>
      </w:r>
    </w:p>
    <w:p w:rsidR="00B82CB3" w:rsidRDefault="00B82CB3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50"/>
        <w:gridCol w:w="6204"/>
      </w:tblGrid>
      <w:tr w:rsidR="00715616" w:rsidRPr="00B82CB3" w:rsidTr="00B82CB3">
        <w:trPr>
          <w:trHeight w:val="980"/>
        </w:trPr>
        <w:tc>
          <w:tcPr>
            <w:tcW w:w="1852" w:type="pct"/>
            <w:vMerge w:val="restart"/>
            <w:hideMark/>
          </w:tcPr>
          <w:p w:rsidR="00715616" w:rsidRPr="00B82CB3" w:rsidRDefault="00715616" w:rsidP="00715616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Перечень основных целевых показателей муниципальной программы </w:t>
            </w: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1. Доля образовательных учреждений, имеющих лицензию на </w:t>
            </w:r>
            <w:proofErr w:type="gramStart"/>
            <w:r w:rsidRPr="00B82CB3">
              <w:rPr>
                <w:sz w:val="24"/>
                <w:szCs w:val="24"/>
              </w:rPr>
              <w:t>право ведения</w:t>
            </w:r>
            <w:proofErr w:type="gramEnd"/>
            <w:r w:rsidRPr="00B82CB3">
              <w:rPr>
                <w:sz w:val="24"/>
                <w:szCs w:val="24"/>
              </w:rPr>
              <w:t xml:space="preserve"> образовательной деятельности, от общего количества муниципальных образовательных учреждений</w:t>
            </w:r>
          </w:p>
        </w:tc>
      </w:tr>
      <w:tr w:rsidR="00715616" w:rsidRPr="00B82CB3" w:rsidTr="00B82CB3">
        <w:trPr>
          <w:trHeight w:val="221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2. 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</w:tr>
      <w:tr w:rsidR="00715616" w:rsidRPr="00B82CB3" w:rsidTr="00B82CB3">
        <w:trPr>
          <w:trHeight w:val="77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3. 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</w:tr>
      <w:tr w:rsidR="00715616" w:rsidRPr="00B82CB3" w:rsidTr="00B82CB3">
        <w:trPr>
          <w:trHeight w:val="84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4. Количество созданных центров «Точка роста» на базе общеобразовательных учреждений городского округа Верхняя Пышма</w:t>
            </w:r>
          </w:p>
        </w:tc>
      </w:tr>
      <w:tr w:rsidR="00715616" w:rsidRPr="00B82CB3" w:rsidTr="00B82CB3">
        <w:trPr>
          <w:trHeight w:val="154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</w:tr>
      <w:tr w:rsidR="00715616" w:rsidRPr="00B82CB3" w:rsidTr="00B82CB3">
        <w:trPr>
          <w:trHeight w:val="139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6. 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</w:tr>
      <w:tr w:rsidR="00715616" w:rsidRPr="00B82CB3" w:rsidTr="00B82CB3">
        <w:trPr>
          <w:trHeight w:val="156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7. 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</w:tr>
      <w:tr w:rsidR="00715616" w:rsidRPr="00B82CB3" w:rsidTr="00B82CB3">
        <w:trPr>
          <w:trHeight w:val="155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8. 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715616" w:rsidRPr="00B82CB3" w:rsidTr="00B82CB3">
        <w:trPr>
          <w:trHeight w:val="190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9. 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715616" w:rsidRPr="00B82CB3" w:rsidTr="00B82CB3">
        <w:trPr>
          <w:trHeight w:val="69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10. Количество автобусов, приобретённых для обеспечения подвоза обучающихся</w:t>
            </w:r>
          </w:p>
        </w:tc>
      </w:tr>
      <w:tr w:rsidR="00715616" w:rsidRPr="00B82CB3" w:rsidTr="00B82CB3">
        <w:trPr>
          <w:trHeight w:val="129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11.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</w:tr>
      <w:tr w:rsidR="00715616" w:rsidRPr="00B82CB3" w:rsidTr="00B82CB3">
        <w:trPr>
          <w:trHeight w:val="98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12.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</w:tr>
      <w:tr w:rsidR="00715616" w:rsidRPr="00B82CB3" w:rsidTr="00B82CB3">
        <w:trPr>
          <w:trHeight w:val="108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13. 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</w:tr>
      <w:tr w:rsidR="00715616" w:rsidRPr="00B82CB3" w:rsidTr="00B82CB3">
        <w:trPr>
          <w:trHeight w:val="98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14. 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</w:tr>
      <w:tr w:rsidR="00715616" w:rsidRPr="00B82CB3" w:rsidTr="00B82CB3">
        <w:trPr>
          <w:trHeight w:val="84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15. Уровень освоения </w:t>
            </w:r>
            <w:proofErr w:type="gramStart"/>
            <w:r w:rsidRPr="00B82CB3">
              <w:rPr>
                <w:sz w:val="24"/>
                <w:szCs w:val="24"/>
              </w:rPr>
              <w:t>обучающимися</w:t>
            </w:r>
            <w:proofErr w:type="gramEnd"/>
            <w:r w:rsidRPr="00B82CB3">
              <w:rPr>
                <w:sz w:val="24"/>
                <w:szCs w:val="24"/>
              </w:rPr>
              <w:t xml:space="preserve"> основной общеобразовательной программы начального общего образования</w:t>
            </w:r>
          </w:p>
        </w:tc>
      </w:tr>
      <w:tr w:rsidR="00715616" w:rsidRPr="00B82CB3" w:rsidTr="00B82CB3">
        <w:trPr>
          <w:trHeight w:val="83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16. Уровень освоения </w:t>
            </w:r>
            <w:proofErr w:type="gramStart"/>
            <w:r w:rsidRPr="00B82CB3">
              <w:rPr>
                <w:sz w:val="24"/>
                <w:szCs w:val="24"/>
              </w:rPr>
              <w:t>обучающимися</w:t>
            </w:r>
            <w:proofErr w:type="gramEnd"/>
            <w:r w:rsidRPr="00B82CB3">
              <w:rPr>
                <w:sz w:val="24"/>
                <w:szCs w:val="24"/>
              </w:rPr>
              <w:t xml:space="preserve"> основной общеобразовательной программы основного общего образования</w:t>
            </w:r>
          </w:p>
        </w:tc>
      </w:tr>
      <w:tr w:rsidR="00715616" w:rsidRPr="00B82CB3" w:rsidTr="00B82CB3">
        <w:trPr>
          <w:trHeight w:val="102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17. Уровень освоения </w:t>
            </w:r>
            <w:proofErr w:type="gramStart"/>
            <w:r w:rsidRPr="00B82CB3">
              <w:rPr>
                <w:sz w:val="24"/>
                <w:szCs w:val="24"/>
              </w:rPr>
              <w:t>обучающимися</w:t>
            </w:r>
            <w:proofErr w:type="gramEnd"/>
            <w:r w:rsidRPr="00B82CB3">
              <w:rPr>
                <w:sz w:val="24"/>
                <w:szCs w:val="24"/>
              </w:rPr>
              <w:t xml:space="preserve"> основной общеобразовательной программы среднего общего образования</w:t>
            </w:r>
          </w:p>
        </w:tc>
      </w:tr>
      <w:tr w:rsidR="00715616" w:rsidRPr="00B82CB3" w:rsidTr="00B82CB3">
        <w:trPr>
          <w:trHeight w:val="150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18. 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</w:tr>
      <w:tr w:rsidR="00715616" w:rsidRPr="00B82CB3" w:rsidTr="00B82CB3">
        <w:trPr>
          <w:trHeight w:val="82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19.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</w:tr>
      <w:tr w:rsidR="00715616" w:rsidRPr="00B82CB3" w:rsidTr="00B82CB3">
        <w:trPr>
          <w:trHeight w:val="126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20.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</w:tr>
      <w:tr w:rsidR="00715616" w:rsidRPr="00B82CB3" w:rsidTr="00B82CB3">
        <w:trPr>
          <w:trHeight w:val="84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21.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</w:tr>
      <w:tr w:rsidR="00715616" w:rsidRPr="00B82CB3" w:rsidTr="00B82CB3">
        <w:trPr>
          <w:trHeight w:val="112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22. 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</w:tr>
      <w:tr w:rsidR="00715616" w:rsidRPr="00B82CB3" w:rsidTr="00B82CB3">
        <w:trPr>
          <w:trHeight w:val="97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23. 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</w:tr>
      <w:tr w:rsidR="00715616" w:rsidRPr="00B82CB3" w:rsidTr="00B82CB3">
        <w:trPr>
          <w:trHeight w:val="817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24. 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</w:tr>
      <w:tr w:rsidR="00715616" w:rsidRPr="00B82CB3" w:rsidTr="00B82CB3">
        <w:trPr>
          <w:trHeight w:val="687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25. Количество муниципальных общеобразовательных учреждений улучшивших материально </w:t>
            </w:r>
            <w:proofErr w:type="gramStart"/>
            <w:r w:rsidRPr="00B82CB3">
              <w:rPr>
                <w:sz w:val="24"/>
                <w:szCs w:val="24"/>
              </w:rPr>
              <w:t>-т</w:t>
            </w:r>
            <w:proofErr w:type="gramEnd"/>
            <w:r w:rsidRPr="00B82CB3">
              <w:rPr>
                <w:sz w:val="24"/>
                <w:szCs w:val="24"/>
              </w:rPr>
              <w:t>ехническую базу</w:t>
            </w:r>
          </w:p>
        </w:tc>
      </w:tr>
      <w:tr w:rsidR="00715616" w:rsidRPr="00B82CB3" w:rsidTr="00B82CB3">
        <w:trPr>
          <w:trHeight w:val="119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26. 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</w:tr>
      <w:tr w:rsidR="00715616" w:rsidRPr="00B82CB3" w:rsidTr="00B82CB3">
        <w:trPr>
          <w:trHeight w:val="77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27. Количество муниципальных дошкольных учреждений, улучшивших материально-техническую базу</w:t>
            </w:r>
          </w:p>
        </w:tc>
      </w:tr>
      <w:tr w:rsidR="00715616" w:rsidRPr="00B82CB3" w:rsidTr="00B82CB3">
        <w:trPr>
          <w:trHeight w:val="84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28. Количество муниципальных учреждений дополнительного образования, улучшивших материально-техническую базу</w:t>
            </w:r>
          </w:p>
        </w:tc>
      </w:tr>
      <w:tr w:rsidR="00715616" w:rsidRPr="00B82CB3" w:rsidTr="00B82CB3">
        <w:trPr>
          <w:trHeight w:val="84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29. Количество муниципальных общеобразовательных организаций, в которых открыты (модернизированы) кабинеты </w:t>
            </w:r>
            <w:proofErr w:type="gramStart"/>
            <w:r w:rsidRPr="00B82CB3">
              <w:rPr>
                <w:sz w:val="24"/>
                <w:szCs w:val="24"/>
              </w:rPr>
              <w:t>естественно-научного</w:t>
            </w:r>
            <w:proofErr w:type="gramEnd"/>
            <w:r w:rsidRPr="00B82CB3">
              <w:rPr>
                <w:sz w:val="24"/>
                <w:szCs w:val="24"/>
              </w:rPr>
              <w:t xml:space="preserve"> цикла</w:t>
            </w:r>
          </w:p>
        </w:tc>
      </w:tr>
      <w:tr w:rsidR="00715616" w:rsidRPr="00B82CB3" w:rsidTr="00B82CB3">
        <w:trPr>
          <w:trHeight w:val="97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30. 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B82CB3">
              <w:rPr>
                <w:sz w:val="24"/>
                <w:szCs w:val="24"/>
              </w:rPr>
              <w:t>профориентационной</w:t>
            </w:r>
            <w:proofErr w:type="spellEnd"/>
            <w:r w:rsidRPr="00B82CB3">
              <w:rPr>
                <w:sz w:val="24"/>
                <w:szCs w:val="24"/>
              </w:rPr>
              <w:t xml:space="preserve"> работы</w:t>
            </w:r>
          </w:p>
        </w:tc>
      </w:tr>
      <w:tr w:rsidR="00715616" w:rsidRPr="00B82CB3" w:rsidTr="00B82CB3">
        <w:trPr>
          <w:trHeight w:val="151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31. 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</w:tr>
      <w:tr w:rsidR="00715616" w:rsidRPr="00B82CB3" w:rsidTr="00B82CB3">
        <w:trPr>
          <w:trHeight w:val="125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32. 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715616" w:rsidRPr="00B82CB3" w:rsidTr="00B82CB3">
        <w:trPr>
          <w:trHeight w:val="56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33. Количество образовательных учреждений, которые оснащены приборами учета энергоресурсов </w:t>
            </w:r>
          </w:p>
        </w:tc>
      </w:tr>
      <w:tr w:rsidR="00715616" w:rsidRPr="00B82CB3" w:rsidTr="00B82CB3">
        <w:trPr>
          <w:trHeight w:val="125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34. 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715616" w:rsidRPr="00B82CB3" w:rsidTr="00B82CB3">
        <w:trPr>
          <w:trHeight w:val="140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35. 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715616" w:rsidRPr="00B82CB3" w:rsidTr="00B82CB3">
        <w:trPr>
          <w:trHeight w:val="112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36. 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</w:tr>
      <w:tr w:rsidR="00715616" w:rsidRPr="00B82CB3" w:rsidTr="00B82CB3">
        <w:trPr>
          <w:trHeight w:val="98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37. 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</w:tr>
      <w:tr w:rsidR="00715616" w:rsidRPr="00B82CB3" w:rsidTr="00B82CB3">
        <w:trPr>
          <w:trHeight w:val="81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38. Количество проведённых общегородских мероприятий в сфере образования для педагогических работников</w:t>
            </w:r>
          </w:p>
        </w:tc>
      </w:tr>
      <w:tr w:rsidR="00715616" w:rsidRPr="00B82CB3" w:rsidTr="00B82CB3">
        <w:trPr>
          <w:trHeight w:val="83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39.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</w:tr>
      <w:tr w:rsidR="00715616" w:rsidRPr="00B82CB3" w:rsidTr="00B82CB3">
        <w:trPr>
          <w:trHeight w:val="83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40. </w:t>
            </w:r>
            <w:proofErr w:type="gramStart"/>
            <w:r w:rsidRPr="00B82CB3">
              <w:rPr>
                <w:sz w:val="24"/>
                <w:szCs w:val="24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715616" w:rsidRPr="00B82CB3" w:rsidTr="00B82CB3">
        <w:trPr>
          <w:trHeight w:val="183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41. Охват бесплатным горячим питанием обучающихся из числа </w:t>
            </w:r>
            <w:proofErr w:type="spellStart"/>
            <w:r w:rsidRPr="00B82CB3">
              <w:rPr>
                <w:sz w:val="24"/>
                <w:szCs w:val="24"/>
              </w:rPr>
              <w:t>льготныхкатегорий</w:t>
            </w:r>
            <w:proofErr w:type="spellEnd"/>
            <w:r w:rsidRPr="00B82CB3">
              <w:rPr>
                <w:sz w:val="24"/>
                <w:szCs w:val="24"/>
              </w:rPr>
              <w:t xml:space="preserve"> граждан, получающих основное и среднее общее образование </w:t>
            </w:r>
            <w:proofErr w:type="spellStart"/>
            <w:r w:rsidRPr="00B82CB3">
              <w:rPr>
                <w:sz w:val="24"/>
                <w:szCs w:val="24"/>
              </w:rPr>
              <w:t>вмуниципальных</w:t>
            </w:r>
            <w:proofErr w:type="spellEnd"/>
            <w:r w:rsidRPr="00B82CB3">
              <w:rPr>
                <w:sz w:val="24"/>
                <w:szCs w:val="24"/>
              </w:rPr>
              <w:t xml:space="preserve"> образовательных </w:t>
            </w:r>
            <w:proofErr w:type="gramStart"/>
            <w:r w:rsidRPr="00B82CB3">
              <w:rPr>
                <w:sz w:val="24"/>
                <w:szCs w:val="24"/>
              </w:rPr>
              <w:t>организациях</w:t>
            </w:r>
            <w:proofErr w:type="gramEnd"/>
            <w:r w:rsidRPr="00B82CB3">
              <w:rPr>
                <w:sz w:val="24"/>
                <w:szCs w:val="24"/>
              </w:rPr>
              <w:t xml:space="preserve"> (в соответствии со статьей 22 Закона Свердловской области от 15.07.2013 N 78-«Об образовании в Свердловской области»)</w:t>
            </w:r>
          </w:p>
        </w:tc>
      </w:tr>
      <w:tr w:rsidR="00715616" w:rsidRPr="00B82CB3" w:rsidTr="00B82CB3">
        <w:trPr>
          <w:trHeight w:val="55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42. Количество школьных столовых, в которых произведена замена технологического оборудования </w:t>
            </w:r>
          </w:p>
        </w:tc>
      </w:tr>
      <w:tr w:rsidR="00715616" w:rsidRPr="00B82CB3" w:rsidTr="00B82CB3">
        <w:trPr>
          <w:trHeight w:val="40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43. Количество школьных столовых, в которых заменена обеденная мебель</w:t>
            </w:r>
          </w:p>
        </w:tc>
      </w:tr>
      <w:tr w:rsidR="00715616" w:rsidRPr="00B82CB3" w:rsidTr="00B82CB3">
        <w:trPr>
          <w:trHeight w:val="61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44. Количество школьных столовых, в которых произведена замена системы вентиляции</w:t>
            </w:r>
          </w:p>
        </w:tc>
      </w:tr>
      <w:tr w:rsidR="00715616" w:rsidRPr="00B82CB3" w:rsidTr="00B82CB3">
        <w:trPr>
          <w:trHeight w:val="83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45. Количество  школьных столовых, в которых заменен кухонный инвентарь, столовая посуда, столовые приборы </w:t>
            </w:r>
          </w:p>
        </w:tc>
      </w:tr>
      <w:tr w:rsidR="00715616" w:rsidRPr="00B82CB3" w:rsidTr="00B82CB3">
        <w:trPr>
          <w:trHeight w:val="154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46. Охват обучающихся льготных категорий (в соответствии со статьей 22 Закона Свердловской области от 15.07.2013 N 78-«Об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</w:tr>
      <w:tr w:rsidR="00715616" w:rsidRPr="00B82CB3" w:rsidTr="00B82CB3">
        <w:trPr>
          <w:trHeight w:val="84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47. </w:t>
            </w:r>
            <w:proofErr w:type="gramStart"/>
            <w:r w:rsidRPr="00B82CB3">
              <w:rPr>
                <w:sz w:val="24"/>
                <w:szCs w:val="24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715616" w:rsidRPr="00B82CB3" w:rsidTr="00B82CB3">
        <w:trPr>
          <w:trHeight w:val="112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48.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</w:tr>
      <w:tr w:rsidR="00715616" w:rsidRPr="00B82CB3" w:rsidTr="00B82CB3">
        <w:trPr>
          <w:trHeight w:val="112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49. 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</w:tr>
      <w:tr w:rsidR="00715616" w:rsidRPr="00B82CB3" w:rsidTr="00B82CB3">
        <w:trPr>
          <w:trHeight w:val="1267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50. 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84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51. 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83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52. Количество мероприятий по патриотическому воспитанию граждан в городском округе Верхняя Пышма</w:t>
            </w:r>
          </w:p>
        </w:tc>
      </w:tr>
      <w:tr w:rsidR="00715616" w:rsidRPr="00B82CB3" w:rsidTr="00B82CB3">
        <w:trPr>
          <w:trHeight w:val="84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53. Количество действующих на территории городского округа Верхняя Пышма патриотических молодежных объединений</w:t>
            </w:r>
          </w:p>
        </w:tc>
      </w:tr>
      <w:tr w:rsidR="00715616" w:rsidRPr="00B82CB3" w:rsidTr="00B82CB3">
        <w:trPr>
          <w:trHeight w:val="169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54.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</w:tr>
      <w:tr w:rsidR="00715616" w:rsidRPr="00B82CB3" w:rsidTr="00B82CB3">
        <w:trPr>
          <w:trHeight w:val="62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55. Количество записей в электронных каталогах в муниципальных общедоступных библиотеках</w:t>
            </w:r>
          </w:p>
        </w:tc>
      </w:tr>
      <w:tr w:rsidR="00715616" w:rsidRPr="00B82CB3" w:rsidTr="00B82CB3">
        <w:trPr>
          <w:trHeight w:val="102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56. Количество муниципальных библиотек, подключенных к национальной электронной библиотеке (НЭБ)</w:t>
            </w:r>
          </w:p>
        </w:tc>
      </w:tr>
      <w:tr w:rsidR="00715616" w:rsidRPr="00B82CB3" w:rsidTr="00B82CB3">
        <w:trPr>
          <w:trHeight w:val="69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57. Число посещений культурно-досуговых мероприятий</w:t>
            </w:r>
          </w:p>
        </w:tc>
      </w:tr>
      <w:tr w:rsidR="00715616" w:rsidRPr="00B82CB3" w:rsidTr="00B82CB3">
        <w:trPr>
          <w:trHeight w:val="56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58. Количество муниципальных учреждений культуры, улучшивших материально-техническую базу</w:t>
            </w:r>
          </w:p>
        </w:tc>
      </w:tr>
      <w:tr w:rsidR="00715616" w:rsidRPr="00B82CB3" w:rsidTr="00B82CB3">
        <w:trPr>
          <w:trHeight w:val="40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59. Число культурно-массовых мероприятий</w:t>
            </w:r>
          </w:p>
        </w:tc>
      </w:tr>
      <w:tr w:rsidR="00715616" w:rsidRPr="00B82CB3" w:rsidTr="00B82CB3">
        <w:trPr>
          <w:trHeight w:val="69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60. Увеличение числа посетителей модельной библиотеки</w:t>
            </w:r>
          </w:p>
        </w:tc>
      </w:tr>
      <w:tr w:rsidR="00715616" w:rsidRPr="00B82CB3" w:rsidTr="00B82CB3">
        <w:trPr>
          <w:trHeight w:val="85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61. 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</w:tr>
      <w:tr w:rsidR="00715616" w:rsidRPr="00B82CB3" w:rsidTr="00B82CB3">
        <w:trPr>
          <w:trHeight w:val="112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62. 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</w:tr>
      <w:tr w:rsidR="00715616" w:rsidRPr="00B82CB3" w:rsidTr="00B82CB3">
        <w:trPr>
          <w:trHeight w:val="111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63. 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715616" w:rsidRPr="00B82CB3" w:rsidTr="00B82CB3">
        <w:trPr>
          <w:trHeight w:val="56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64. Увеличение количества выставок в МБУК "Верхнепышминский исторический музей"</w:t>
            </w:r>
          </w:p>
        </w:tc>
      </w:tr>
      <w:tr w:rsidR="00715616" w:rsidRPr="00B82CB3" w:rsidTr="00B82CB3">
        <w:trPr>
          <w:trHeight w:val="41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65. Число посещений муниципальных библиотек</w:t>
            </w:r>
          </w:p>
        </w:tc>
      </w:tr>
      <w:tr w:rsidR="00715616" w:rsidRPr="00B82CB3" w:rsidTr="00B82CB3">
        <w:trPr>
          <w:trHeight w:val="113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66. 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</w:tr>
      <w:tr w:rsidR="00715616" w:rsidRPr="00B82CB3" w:rsidTr="00B82CB3">
        <w:trPr>
          <w:trHeight w:val="140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67. Доля детей и подростков, получивших услуги по организации отдыха и оздоровления в санаторн</w:t>
            </w:r>
            <w:proofErr w:type="gramStart"/>
            <w:r w:rsidRPr="00B82CB3">
              <w:rPr>
                <w:sz w:val="24"/>
                <w:szCs w:val="24"/>
              </w:rPr>
              <w:t>о-</w:t>
            </w:r>
            <w:proofErr w:type="gramEnd"/>
            <w:r w:rsidRPr="00B82CB3">
              <w:rPr>
                <w:sz w:val="24"/>
                <w:szCs w:val="24"/>
              </w:rPr>
              <w:t xml:space="preserve"> курортных учреждениях, загородных детских оздоровительных лагерях от общей численности детей школьного возраста</w:t>
            </w:r>
          </w:p>
        </w:tc>
      </w:tr>
      <w:tr w:rsidR="00715616" w:rsidRPr="00B82CB3" w:rsidTr="00B82CB3">
        <w:trPr>
          <w:trHeight w:val="55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68. Количество детей в городском округе Верхняя Пышма, охваченных детско-юношеским туризмом</w:t>
            </w:r>
          </w:p>
        </w:tc>
      </w:tr>
      <w:tr w:rsidR="00715616" w:rsidRPr="00B82CB3" w:rsidTr="00B82CB3">
        <w:trPr>
          <w:trHeight w:val="113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B82CB3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69. 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</w:t>
            </w:r>
            <w:r w:rsidR="00B82CB3">
              <w:rPr>
                <w:sz w:val="24"/>
                <w:szCs w:val="24"/>
              </w:rPr>
              <w:t>«</w:t>
            </w:r>
            <w:r w:rsidRPr="00B82CB3">
              <w:rPr>
                <w:sz w:val="24"/>
                <w:szCs w:val="24"/>
              </w:rPr>
              <w:t>Медная горка»</w:t>
            </w:r>
          </w:p>
        </w:tc>
      </w:tr>
      <w:tr w:rsidR="00715616" w:rsidRPr="00B82CB3" w:rsidTr="00B82CB3">
        <w:trPr>
          <w:trHeight w:val="211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70. 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B82CB3">
              <w:rPr>
                <w:sz w:val="24"/>
                <w:szCs w:val="24"/>
              </w:rPr>
              <w:t>безбарьерной</w:t>
            </w:r>
            <w:proofErr w:type="spellEnd"/>
            <w:r w:rsidRPr="00B82CB3">
              <w:rPr>
                <w:sz w:val="24"/>
                <w:szCs w:val="24"/>
              </w:rPr>
              <w:t xml:space="preserve"> среды для детей всех групп здоровья</w:t>
            </w:r>
          </w:p>
        </w:tc>
      </w:tr>
      <w:tr w:rsidR="00715616" w:rsidRPr="00B82CB3" w:rsidTr="00B82CB3">
        <w:trPr>
          <w:trHeight w:val="83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71. Количество спортивных площадок, оснащенных специализированным оборудованием для занятий уличной гимнастикой</w:t>
            </w:r>
          </w:p>
        </w:tc>
      </w:tr>
      <w:tr w:rsidR="00715616" w:rsidRPr="00B82CB3" w:rsidTr="00B82CB3">
        <w:trPr>
          <w:trHeight w:val="84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72. Количество муниципальных учреждений в сфере физической культуры и спорта, улучшивших материально-техническую базу</w:t>
            </w:r>
          </w:p>
        </w:tc>
      </w:tr>
      <w:tr w:rsidR="00715616" w:rsidRPr="00B82CB3" w:rsidTr="00B82CB3">
        <w:trPr>
          <w:trHeight w:val="69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73. Количество спортивно - массовых и физкультурно-оздоровительных мероприятий</w:t>
            </w:r>
          </w:p>
        </w:tc>
      </w:tr>
      <w:tr w:rsidR="00715616" w:rsidRPr="00B82CB3" w:rsidTr="00B82CB3">
        <w:trPr>
          <w:trHeight w:val="83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74. 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</w:tr>
      <w:tr w:rsidR="00715616" w:rsidRPr="00B82CB3" w:rsidTr="00B82CB3">
        <w:trPr>
          <w:trHeight w:val="56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75. Ввод в эксплуатацию спортивной инфраструктуры муниципальной собственности</w:t>
            </w:r>
          </w:p>
        </w:tc>
      </w:tr>
      <w:tr w:rsidR="00715616" w:rsidRPr="00B82CB3" w:rsidTr="00B82CB3">
        <w:trPr>
          <w:trHeight w:val="82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76. Количество объектов, в которых проведены мероприятия по энергосбережению и повышению энергетической эффективности</w:t>
            </w:r>
          </w:p>
        </w:tc>
      </w:tr>
      <w:tr w:rsidR="00715616" w:rsidRPr="00B82CB3" w:rsidTr="00B82CB3">
        <w:trPr>
          <w:trHeight w:val="70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77. Количество объектов спортивной инфраструктуры, приведенных в нормативное состояние</w:t>
            </w:r>
          </w:p>
        </w:tc>
      </w:tr>
      <w:tr w:rsidR="00715616" w:rsidRPr="00B82CB3" w:rsidTr="00B82CB3">
        <w:trPr>
          <w:trHeight w:val="111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78. 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</w:tr>
      <w:tr w:rsidR="00715616" w:rsidRPr="00B82CB3" w:rsidTr="00B82CB3">
        <w:trPr>
          <w:trHeight w:val="86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79. 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</w:tr>
      <w:tr w:rsidR="00715616" w:rsidRPr="00B82CB3" w:rsidTr="00B82CB3">
        <w:trPr>
          <w:trHeight w:val="140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80.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</w:tr>
      <w:tr w:rsidR="00715616" w:rsidRPr="00B82CB3" w:rsidTr="00B82CB3">
        <w:trPr>
          <w:trHeight w:val="140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81. 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</w:tr>
      <w:tr w:rsidR="00715616" w:rsidRPr="00B82CB3" w:rsidTr="00B82CB3">
        <w:trPr>
          <w:trHeight w:val="69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82. Количество присвоенных спортивных разрядов и квалификационных категорий</w:t>
            </w:r>
          </w:p>
        </w:tc>
      </w:tr>
      <w:tr w:rsidR="00715616" w:rsidRPr="00B82CB3" w:rsidTr="00B82CB3">
        <w:trPr>
          <w:trHeight w:val="154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83.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</w:tr>
      <w:tr w:rsidR="00715616" w:rsidRPr="00B82CB3" w:rsidTr="00B82CB3">
        <w:trPr>
          <w:trHeight w:val="84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84. 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</w:tr>
      <w:tr w:rsidR="00715616" w:rsidRPr="00B82CB3" w:rsidTr="00B82CB3">
        <w:trPr>
          <w:trHeight w:val="125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85. 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</w:tr>
      <w:tr w:rsidR="00715616" w:rsidRPr="00B82CB3" w:rsidTr="00B82CB3">
        <w:trPr>
          <w:trHeight w:val="982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86. Количество приобретенного оборудования для занятий в спортивных школах городского округа  Верхняя Пышма</w:t>
            </w:r>
          </w:p>
        </w:tc>
      </w:tr>
      <w:tr w:rsidR="00715616" w:rsidRPr="00B82CB3" w:rsidTr="00B82CB3">
        <w:trPr>
          <w:trHeight w:val="140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87.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</w:tr>
      <w:tr w:rsidR="00715616" w:rsidRPr="00B82CB3" w:rsidTr="00B82CB3">
        <w:trPr>
          <w:trHeight w:val="172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88. 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715616" w:rsidRPr="00B82CB3" w:rsidTr="00B82CB3">
        <w:trPr>
          <w:trHeight w:val="1537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89. 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715616" w:rsidRPr="00B82CB3" w:rsidTr="00B82CB3">
        <w:trPr>
          <w:trHeight w:val="141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90. 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715616" w:rsidRPr="00B82CB3" w:rsidTr="00B82CB3">
        <w:trPr>
          <w:trHeight w:val="1170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91. 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</w:tr>
      <w:tr w:rsidR="00715616" w:rsidRPr="00B82CB3" w:rsidTr="00B82CB3">
        <w:trPr>
          <w:trHeight w:val="1386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92. 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71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93. Количество действующих на территории городского округа Верхняя Пышма органов молодежного самоуправления</w:t>
            </w:r>
          </w:p>
        </w:tc>
      </w:tr>
      <w:tr w:rsidR="00715616" w:rsidRPr="00B82CB3" w:rsidTr="00B82CB3">
        <w:trPr>
          <w:trHeight w:val="65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94. Количество мероприятий по работе с молодежью в городском округе Верхняя Пышма</w:t>
            </w:r>
          </w:p>
        </w:tc>
      </w:tr>
      <w:tr w:rsidR="00715616" w:rsidRPr="00B82CB3" w:rsidTr="00B82CB3">
        <w:trPr>
          <w:trHeight w:val="84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95. Количество граждан, участвующих в добровольческой (волонтерской) деятельности в городском округе Верхняя Пышма</w:t>
            </w:r>
          </w:p>
        </w:tc>
      </w:tr>
      <w:tr w:rsidR="00715616" w:rsidRPr="00B82CB3" w:rsidTr="00B82CB3">
        <w:trPr>
          <w:trHeight w:val="84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B82CB3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96. Количество поддержанных молодежных ин</w:t>
            </w:r>
            <w:r w:rsidR="00B82CB3">
              <w:rPr>
                <w:sz w:val="24"/>
                <w:szCs w:val="24"/>
              </w:rPr>
              <w:t>ициатив по результатам проекта «</w:t>
            </w:r>
            <w:r w:rsidRPr="00B82CB3">
              <w:rPr>
                <w:sz w:val="24"/>
                <w:szCs w:val="24"/>
              </w:rPr>
              <w:t>Банк молодежных инициатив</w:t>
            </w:r>
            <w:r w:rsidR="00B82CB3">
              <w:rPr>
                <w:sz w:val="24"/>
                <w:szCs w:val="24"/>
              </w:rPr>
              <w:t>»</w:t>
            </w:r>
            <w:r w:rsidRPr="00B82CB3">
              <w:rPr>
                <w:sz w:val="24"/>
                <w:szCs w:val="24"/>
              </w:rPr>
              <w:t xml:space="preserve"> в городском округе Верхняя Пышма</w:t>
            </w:r>
          </w:p>
        </w:tc>
      </w:tr>
      <w:tr w:rsidR="00715616" w:rsidRPr="00B82CB3" w:rsidTr="00B82CB3">
        <w:trPr>
          <w:trHeight w:val="70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97. Количество </w:t>
            </w:r>
            <w:proofErr w:type="gramStart"/>
            <w:r w:rsidRPr="00B82CB3">
              <w:rPr>
                <w:sz w:val="24"/>
                <w:szCs w:val="24"/>
              </w:rPr>
              <w:t>действующих</w:t>
            </w:r>
            <w:proofErr w:type="gramEnd"/>
            <w:r w:rsidRPr="00B82CB3">
              <w:rPr>
                <w:sz w:val="24"/>
                <w:szCs w:val="24"/>
              </w:rPr>
              <w:t xml:space="preserve"> молодежных </w:t>
            </w:r>
            <w:proofErr w:type="spellStart"/>
            <w:r w:rsidRPr="00B82CB3">
              <w:rPr>
                <w:sz w:val="24"/>
                <w:szCs w:val="24"/>
              </w:rPr>
              <w:t>коворкинг</w:t>
            </w:r>
            <w:proofErr w:type="spellEnd"/>
            <w:r w:rsidRPr="00B82CB3">
              <w:rPr>
                <w:sz w:val="24"/>
                <w:szCs w:val="24"/>
              </w:rPr>
              <w:t>-центров</w:t>
            </w:r>
          </w:p>
        </w:tc>
      </w:tr>
      <w:tr w:rsidR="00715616" w:rsidRPr="00B82CB3" w:rsidTr="00B82CB3">
        <w:trPr>
          <w:trHeight w:val="1265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98.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</w:tr>
      <w:tr w:rsidR="00715616" w:rsidRPr="00B82CB3" w:rsidTr="00B82CB3">
        <w:trPr>
          <w:trHeight w:val="1254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99. 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1399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100. 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B82CB3">
              <w:rPr>
                <w:sz w:val="24"/>
                <w:szCs w:val="24"/>
              </w:rPr>
              <w:t>родительства</w:t>
            </w:r>
            <w:proofErr w:type="spellEnd"/>
            <w:r w:rsidRPr="00B82CB3">
              <w:rPr>
                <w:sz w:val="24"/>
                <w:szCs w:val="24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1577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101.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</w:tr>
      <w:tr w:rsidR="00715616" w:rsidRPr="00B82CB3" w:rsidTr="00B82CB3">
        <w:trPr>
          <w:trHeight w:val="113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102.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</w:tr>
      <w:tr w:rsidR="00715616" w:rsidRPr="00B82CB3" w:rsidTr="00B82CB3">
        <w:trPr>
          <w:trHeight w:val="823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 xml:space="preserve">103. Количество муниципальных учреждений молодежной политики, улучшивших материально-техническую базу </w:t>
            </w:r>
          </w:p>
        </w:tc>
      </w:tr>
      <w:tr w:rsidR="00715616" w:rsidRPr="00B82CB3" w:rsidTr="00B82CB3">
        <w:trPr>
          <w:trHeight w:val="848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104. 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</w:tr>
      <w:tr w:rsidR="00715616" w:rsidRPr="00B82CB3" w:rsidTr="00B82CB3">
        <w:trPr>
          <w:trHeight w:val="691"/>
        </w:trPr>
        <w:tc>
          <w:tcPr>
            <w:tcW w:w="1852" w:type="pct"/>
            <w:vMerge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715616" w:rsidRPr="00B82CB3" w:rsidRDefault="0071561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105. 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</w:tr>
      <w:tr w:rsidR="004C15C6" w:rsidRPr="00B82CB3" w:rsidTr="00B82CB3">
        <w:trPr>
          <w:trHeight w:val="699"/>
        </w:trPr>
        <w:tc>
          <w:tcPr>
            <w:tcW w:w="1852" w:type="pct"/>
            <w:vMerge/>
            <w:hideMark/>
          </w:tcPr>
          <w:p w:rsidR="004C15C6" w:rsidRPr="00B82CB3" w:rsidRDefault="004C15C6" w:rsidP="00D433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4C15C6" w:rsidRPr="00B82CB3" w:rsidRDefault="004C15C6" w:rsidP="00D433DB">
            <w:pPr>
              <w:contextualSpacing/>
              <w:rPr>
                <w:sz w:val="24"/>
                <w:szCs w:val="24"/>
              </w:rPr>
            </w:pPr>
            <w:r w:rsidRPr="00B82CB3">
              <w:rPr>
                <w:sz w:val="24"/>
                <w:szCs w:val="24"/>
              </w:rPr>
              <w:t>106. Достижение целевых показателей муниципальной программы</w:t>
            </w:r>
          </w:p>
        </w:tc>
      </w:tr>
    </w:tbl>
    <w:p w:rsidR="005D6474" w:rsidRDefault="005D6474" w:rsidP="00D433DB">
      <w:pPr>
        <w:spacing w:line="240" w:lineRule="auto"/>
        <w:contextualSpacing/>
      </w:pPr>
    </w:p>
    <w:sectPr w:rsidR="005D6474" w:rsidSect="00B82C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6B"/>
    <w:rsid w:val="004C15C6"/>
    <w:rsid w:val="005D6474"/>
    <w:rsid w:val="005F3EFB"/>
    <w:rsid w:val="00715616"/>
    <w:rsid w:val="00B82CB3"/>
    <w:rsid w:val="00CD316B"/>
    <w:rsid w:val="00D433DB"/>
    <w:rsid w:val="00D82E33"/>
    <w:rsid w:val="00D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6</cp:revision>
  <cp:lastPrinted>2021-08-12T04:42:00Z</cp:lastPrinted>
  <dcterms:created xsi:type="dcterms:W3CDTF">2021-08-11T08:11:00Z</dcterms:created>
  <dcterms:modified xsi:type="dcterms:W3CDTF">2021-08-12T07:19:00Z</dcterms:modified>
</cp:coreProperties>
</file>