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25950" w:rsidRPr="00925950" w:rsidTr="00E70F51">
        <w:trPr>
          <w:trHeight w:val="524"/>
        </w:trPr>
        <w:tc>
          <w:tcPr>
            <w:tcW w:w="9460" w:type="dxa"/>
            <w:gridSpan w:val="5"/>
          </w:tcPr>
          <w:p w:rsidR="00925950" w:rsidRPr="00925950" w:rsidRDefault="00925950" w:rsidP="009259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2595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25950" w:rsidRPr="00925950" w:rsidRDefault="00925950" w:rsidP="009259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2595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25950" w:rsidRPr="00925950" w:rsidRDefault="00925950" w:rsidP="009259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2595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25950" w:rsidRPr="00925950" w:rsidRDefault="00925950" w:rsidP="009259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25950" w:rsidRPr="00925950" w:rsidTr="00E70F51">
        <w:trPr>
          <w:trHeight w:val="524"/>
        </w:trPr>
        <w:tc>
          <w:tcPr>
            <w:tcW w:w="284" w:type="dxa"/>
            <w:vAlign w:val="bottom"/>
          </w:tcPr>
          <w:p w:rsidR="00925950" w:rsidRPr="00925950" w:rsidRDefault="00925950" w:rsidP="0092595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2595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25950" w:rsidRPr="00925950" w:rsidRDefault="00925950" w:rsidP="009259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259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259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259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259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259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10.09.2021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25950" w:rsidRPr="00925950" w:rsidRDefault="00925950" w:rsidP="009259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2595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25950" w:rsidRPr="00925950" w:rsidRDefault="00925950" w:rsidP="009259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769</w:t>
            </w:r>
            <w:r w:rsidRPr="009259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259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259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259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259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25950" w:rsidRPr="00925950" w:rsidRDefault="00925950" w:rsidP="0092595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25950" w:rsidRPr="00925950" w:rsidTr="00E70F51">
        <w:trPr>
          <w:trHeight w:val="130"/>
        </w:trPr>
        <w:tc>
          <w:tcPr>
            <w:tcW w:w="9460" w:type="dxa"/>
            <w:gridSpan w:val="5"/>
          </w:tcPr>
          <w:p w:rsidR="00925950" w:rsidRPr="00925950" w:rsidRDefault="00925950" w:rsidP="0092595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25950" w:rsidRPr="00925950" w:rsidTr="00E70F51">
        <w:tc>
          <w:tcPr>
            <w:tcW w:w="9460" w:type="dxa"/>
            <w:gridSpan w:val="5"/>
          </w:tcPr>
          <w:p w:rsidR="00925950" w:rsidRPr="00925950" w:rsidRDefault="00925950" w:rsidP="0092595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2595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25950" w:rsidRPr="00925950" w:rsidRDefault="00925950" w:rsidP="0092595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25950" w:rsidRPr="00925950" w:rsidRDefault="00925950" w:rsidP="0092595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25950" w:rsidRPr="00925950" w:rsidTr="00E70F51">
        <w:tc>
          <w:tcPr>
            <w:tcW w:w="9460" w:type="dxa"/>
            <w:gridSpan w:val="5"/>
          </w:tcPr>
          <w:p w:rsidR="00925950" w:rsidRPr="00925950" w:rsidRDefault="00925950" w:rsidP="009259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2595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      </w:r>
          </w:p>
        </w:tc>
      </w:tr>
      <w:tr w:rsidR="00925950" w:rsidRPr="00925950" w:rsidTr="00E70F51">
        <w:tc>
          <w:tcPr>
            <w:tcW w:w="9460" w:type="dxa"/>
            <w:gridSpan w:val="5"/>
          </w:tcPr>
          <w:p w:rsidR="00925950" w:rsidRPr="00925950" w:rsidRDefault="00925950" w:rsidP="009259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25950" w:rsidRPr="00925950" w:rsidRDefault="00925950" w:rsidP="009259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25950" w:rsidRPr="00925950" w:rsidRDefault="00925950" w:rsidP="0092595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6 статьи 40, Градостроительного </w:t>
      </w:r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кодекса Российской Федерации, Федеральным законом </w:t>
      </w:r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с пунктом 6 статьи 11 Правил землепользования и застройки на территории городского округа Верхняя Пышма, утвержденных решением Думы городского округа Верхняя Пышма </w:t>
      </w:r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31.10.2019 № 15/4, заключением комиссии по проведению общественных обсуждений</w:t>
      </w:r>
      <w:proofErr w:type="gramEnd"/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03.09.2021, проведенных в период с 11.08.2021 года </w:t>
      </w:r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25.08.2021 года по документации по планировке территории, </w:t>
      </w:r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предоставлению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Пышма, </w:t>
      </w:r>
      <w:r w:rsidRPr="0092595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пунктом 68 раздела </w:t>
      </w:r>
      <w:r w:rsidRPr="0092595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III</w:t>
      </w:r>
      <w:r w:rsidRPr="0092595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</w:t>
      </w:r>
      <w:proofErr w:type="gramEnd"/>
      <w:r w:rsidRPr="0092595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Верхняя Пышма», утвержденного постановлением администрации городского округа Верхняя Пышма от 26.02.2019 № 202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</w:t>
      </w:r>
      <w:r w:rsidRPr="0092595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на территории городского округа Верхняя Пышма»,</w:t>
      </w:r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Уставом городского округа Верхняя Пышма, администрация городского округа Верхняя Пышма</w:t>
      </w:r>
    </w:p>
    <w:p w:rsidR="00925950" w:rsidRPr="00925950" w:rsidRDefault="00925950" w:rsidP="0092595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5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25950" w:rsidRPr="00925950" w:rsidRDefault="00925950" w:rsidP="0092595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5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66:36:0000000:3280, расположенного по адресу: Свердловская обл., г. Верхняя Пышма, в районе ул. Пролетарская, 32</w:t>
      </w:r>
      <w:proofErr w:type="gramStart"/>
      <w:r w:rsidRPr="0092595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</w:t>
      </w:r>
      <w:proofErr w:type="gramEnd"/>
      <w:r w:rsidRPr="0092595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находящегося в территориальной </w:t>
      </w:r>
      <w:r w:rsidRPr="0092595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зоне МЦ (многоцелевая зона), в части уменьшения отступов от западной границы земельного участка до объекта капитального строительства до 0,0 м</w:t>
      </w:r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925950" w:rsidRPr="00925950" w:rsidRDefault="00925950" w:rsidP="0092595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разместить на официальном сайте городского округа Верхняя Пышма </w:t>
      </w:r>
      <w:r w:rsidRPr="00925950">
        <w:rPr>
          <w:rFonts w:ascii="Liberation Serif" w:eastAsia="Times New Roman" w:hAnsi="Liberation Serif" w:cs="Liberation Serif"/>
          <w:sz w:val="28"/>
          <w:szCs w:val="28"/>
          <w:lang w:eastAsia="ru-RU"/>
        </w:rPr>
        <w:t>(movp.ru) в разделе «Градостроительство и землепользование» – «Общественные обсуждения».</w:t>
      </w:r>
    </w:p>
    <w:p w:rsidR="00925950" w:rsidRPr="00925950" w:rsidRDefault="00925950" w:rsidP="0092595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9259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p w:rsidR="00925950" w:rsidRPr="00925950" w:rsidRDefault="00925950" w:rsidP="0092595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25950" w:rsidRPr="00925950" w:rsidRDefault="00925950" w:rsidP="0092595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25950" w:rsidRPr="00925950" w:rsidTr="00E70F51">
        <w:tc>
          <w:tcPr>
            <w:tcW w:w="6237" w:type="dxa"/>
            <w:vAlign w:val="bottom"/>
          </w:tcPr>
          <w:p w:rsidR="00925950" w:rsidRPr="00925950" w:rsidRDefault="00925950" w:rsidP="0092595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2595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25950" w:rsidRPr="00925950" w:rsidRDefault="00925950" w:rsidP="0092595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2595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25950" w:rsidRPr="00925950" w:rsidRDefault="00925950" w:rsidP="0092595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2595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Вр-360987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2595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Вр-360987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72368668" w:edGrp="everyone"/>
  <w:p w:rsidR="00AF0248" w:rsidRDefault="0092595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72368668"/>
  <w:p w:rsidR="00810AAA" w:rsidRPr="00810AAA" w:rsidRDefault="0092595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25950" w:rsidP="00810AAA">
    <w:pPr>
      <w:pStyle w:val="a3"/>
      <w:jc w:val="center"/>
    </w:pPr>
    <w:permStart w:id="413682523" w:edGrp="everyone"/>
    <w:permEnd w:id="41368252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62"/>
    <w:rsid w:val="001D6C88"/>
    <w:rsid w:val="00925950"/>
    <w:rsid w:val="00C4276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59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25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259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259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59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25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259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259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2021-09-10T05:30:00Z</dcterms:created>
  <dcterms:modified xsi:type="dcterms:W3CDTF">2021-09-10T05:30:00Z</dcterms:modified>
</cp:coreProperties>
</file>