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6"/>
        <w:gridCol w:w="3031"/>
      </w:tblGrid>
      <w:tr w:rsidR="00B72B51" w:rsidRPr="001349B0" w:rsidTr="00B72B51">
        <w:trPr>
          <w:trHeight w:val="524"/>
        </w:trPr>
        <w:tc>
          <w:tcPr>
            <w:tcW w:w="9237" w:type="dxa"/>
            <w:gridSpan w:val="2"/>
          </w:tcPr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165C" wp14:editId="3B96AB8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2B51" w:rsidRPr="001349B0" w:rsidTr="00B72B51">
        <w:trPr>
          <w:gridAfter w:val="1"/>
          <w:wAfter w:w="3031" w:type="dxa"/>
          <w:trHeight w:val="524"/>
        </w:trPr>
        <w:tc>
          <w:tcPr>
            <w:tcW w:w="6206" w:type="dxa"/>
            <w:vAlign w:val="bottom"/>
          </w:tcPr>
          <w:tbl>
            <w:tblPr>
              <w:tblW w:w="493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501"/>
              <w:gridCol w:w="337"/>
              <w:gridCol w:w="528"/>
              <w:gridCol w:w="3504"/>
            </w:tblGrid>
            <w:tr w:rsidR="00934A10" w:rsidRPr="001349B0" w:rsidTr="00206FA0">
              <w:trPr>
                <w:trHeight w:val="524"/>
              </w:trPr>
              <w:tc>
                <w:tcPr>
                  <w:tcW w:w="284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</w:pP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bottom"/>
                </w:tcPr>
                <w:p w:rsidR="00934A10" w:rsidRPr="001349B0" w:rsidRDefault="00480521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13.12.2021</w:t>
                  </w:r>
                </w:p>
              </w:tc>
              <w:tc>
                <w:tcPr>
                  <w:tcW w:w="425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1349B0">
                    <w:rPr>
                      <w:rFonts w:ascii="Liberation Serif" w:eastAsia="Times New Roman" w:hAnsi="Liberation Serif" w:cs="Times New Roman"/>
                      <w:sz w:val="24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34A10" w:rsidRPr="001349B0" w:rsidRDefault="00480521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1046</w:t>
                  </w:r>
                  <w:bookmarkStart w:id="0" w:name="_GoBack"/>
                  <w:bookmarkEnd w:id="0"/>
                  <w:r w:rsidR="00934A10"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="00934A10"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instrText xml:space="preserve"> DOCPROPERTY  Рег.№  \* MERGEFORMAT </w:instrText>
                  </w:r>
                  <w:r w:rsidR="00934A10"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="00934A10"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34A10" w:rsidRPr="001349B0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6341" w:type="dxa"/>
                  <w:vAlign w:val="bottom"/>
                </w:tcPr>
                <w:p w:rsidR="00934A10" w:rsidRPr="001349B0" w:rsidRDefault="00934A10" w:rsidP="00206FA0">
                  <w:pPr>
                    <w:tabs>
                      <w:tab w:val="left" w:leader="underscore" w:pos="9639"/>
                    </w:tabs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934A10" w:rsidRPr="001349B0" w:rsidTr="00206FA0">
              <w:trPr>
                <w:trHeight w:val="130"/>
              </w:trPr>
              <w:tc>
                <w:tcPr>
                  <w:tcW w:w="9460" w:type="dxa"/>
                  <w:gridSpan w:val="5"/>
                </w:tcPr>
                <w:p w:rsidR="00934A10" w:rsidRPr="001349B0" w:rsidRDefault="00934A10" w:rsidP="00206FA0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0"/>
                      <w:szCs w:val="28"/>
                      <w:lang w:eastAsia="ru-RU"/>
                    </w:rPr>
                  </w:pPr>
                </w:p>
              </w:tc>
            </w:tr>
          </w:tbl>
          <w:p w:rsidR="00B72B51" w:rsidRPr="001349B0" w:rsidRDefault="00B72B51" w:rsidP="00206F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72B51" w:rsidRPr="001349B0" w:rsidTr="00B72B51">
        <w:tc>
          <w:tcPr>
            <w:tcW w:w="9237" w:type="dxa"/>
            <w:gridSpan w:val="2"/>
          </w:tcPr>
          <w:p w:rsidR="00B72B51" w:rsidRPr="001349B0" w:rsidRDefault="00B72B51" w:rsidP="00206F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349B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</w:tbl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47077911"/>
      <w:bookmarkStart w:id="2" w:name="_Hlk47077850"/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Решением Думы городского округа Верхняя Пышма от 30.09.2021 № 40/1 «О бюджете городского округа Верхняя Пышма на 2021 год и плановый период 2022 и 2023 годов», со статьей 179 Бюджетного кодекса Российской Федерации,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№1083, в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целях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уточнения перечня мероприятий и объемов финансирования на 2021-2023 годы, администрация городского округа Верхняя Пышма</w:t>
      </w:r>
    </w:p>
    <w:bookmarkEnd w:id="1"/>
    <w:p w:rsidR="00B72B51" w:rsidRPr="00C14EAE" w:rsidRDefault="00B72B51" w:rsidP="00B72B5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C14EAE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_Hlk47078064"/>
      <w:bookmarkStart w:id="4" w:name="_Hlk47077971"/>
      <w:r w:rsidRPr="00C14EA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1708, следующие изменения: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Default="00B72B51" w:rsidP="00B72B5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B72B51" w:rsidRPr="00482357" w:rsidTr="00206FA0">
        <w:trPr>
          <w:trHeight w:val="36"/>
        </w:trPr>
        <w:tc>
          <w:tcPr>
            <w:tcW w:w="19" w:type="dxa"/>
            <w:tcBorders>
              <w:right w:val="single" w:sz="4" w:space="0" w:color="auto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Обьем финансирования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муниципальной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программы по годам</w:t>
            </w:r>
          </w:p>
          <w:p w:rsidR="00B72B51" w:rsidRPr="00002035" w:rsidRDefault="00B72B51" w:rsidP="00206FA0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ВСЕГО: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17 219 910,2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- 1 772 360,1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- 1 508 307,0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- 1 867 714,6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- 2 361 442,4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- 2 661 359,6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- 4 386 591,9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2 564 650,5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78 352,7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- 19 131,4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из них: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областной бюджет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7 351 743,5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742 098,8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- 359 661,8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- 764 899,4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- 818 870,3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- 1 093 820,8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- 2 241 876,0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1 306 298,1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24 218,3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федеральный бюджет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363 269,5 тыс. рублей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2015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- 167 614,4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год - 83 756,5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- 54 009,0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- 3 028,7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- 54 860,9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2022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</w:t>
            </w:r>
          </w:p>
          <w:p w:rsidR="00B72B51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местный бюджет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9 087 932,6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B72B51">
            <w:pPr>
              <w:pStyle w:val="a3"/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- 658 581,0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- 890 623,9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- 1 014 194,5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- 1 538 521,0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- 1 509 677,9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- 2 144 715,9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1 258 352,4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54 134,4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- 19 131,4 тыс. рублей,</w:t>
            </w:r>
          </w:p>
          <w:p w:rsidR="00B72B51" w:rsidRPr="00002035" w:rsidRDefault="00B72B51" w:rsidP="00B72B51">
            <w:pPr>
              <w:numPr>
                <w:ilvl w:val="0"/>
                <w:numId w:val="5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год - 0,0 тыс. рублей 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внебюджетные источники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395 163,7 тыс. рублей </w:t>
            </w:r>
          </w:p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- 182 264,8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- 174 264,8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- 34 611,7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- 1 022,4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- 3 000,0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–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рублей,</w:t>
            </w:r>
          </w:p>
          <w:p w:rsidR="00B72B51" w:rsidRPr="00002035" w:rsidRDefault="00B72B51" w:rsidP="00206FA0">
            <w:pPr>
              <w:numPr>
                <w:ilvl w:val="0"/>
                <w:numId w:val="3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год - 0,0 тыс. рублей</w:t>
            </w:r>
          </w:p>
          <w:p w:rsidR="00B72B51" w:rsidRPr="00002035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72B51" w:rsidRPr="00482357" w:rsidTr="00206FA0">
        <w:trPr>
          <w:trHeight w:val="36"/>
        </w:trPr>
        <w:tc>
          <w:tcPr>
            <w:tcW w:w="19" w:type="dxa"/>
            <w:tcBorders>
              <w:right w:val="single" w:sz="4" w:space="0" w:color="auto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AD44FA" w:rsidRDefault="00B72B51" w:rsidP="00206FA0">
            <w:pP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02035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 xml:space="preserve">Адрес размещения муниципальной программы в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 xml:space="preserve">информационно </w:t>
            </w:r>
            <w:r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softHyphen/>
              <w:t xml:space="preserve"> </w:t>
            </w:r>
            <w:r w:rsidRPr="00002035"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  <w:t>телекоммуникационной сети Интернет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51" w:rsidRPr="00002035" w:rsidRDefault="00B72B51" w:rsidP="00206FA0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movp</w:t>
            </w:r>
            <w:r w:rsidRPr="00002035">
              <w:rPr>
                <w:rFonts w:ascii="Liberation Serif" w:hAnsi="Liberation Serif"/>
                <w:sz w:val="27"/>
                <w:szCs w:val="27"/>
              </w:rPr>
              <w:t>.ru</w:t>
            </w:r>
          </w:p>
        </w:tc>
      </w:tr>
      <w:tr w:rsidR="00B72B51" w:rsidRPr="00482357" w:rsidTr="00206FA0">
        <w:trPr>
          <w:gridAfter w:val="1"/>
          <w:wAfter w:w="19" w:type="dxa"/>
          <w:trHeight w:hRule="exact" w:val="13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  <w:tr w:rsidR="00B72B51" w:rsidRPr="00482357" w:rsidTr="00206FA0">
        <w:trPr>
          <w:gridAfter w:val="1"/>
          <w:wAfter w:w="19" w:type="dxa"/>
          <w:trHeight w:hRule="exact" w:val="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B51" w:rsidRPr="00482357" w:rsidRDefault="00B72B51" w:rsidP="00206FA0">
            <w:pPr>
              <w:spacing w:after="0" w:line="240" w:lineRule="auto"/>
              <w:rPr>
                <w:rFonts w:ascii="Calibri" w:eastAsia="Times New Roman" w:hAnsi="Calibri" w:cs="Times New Roman"/>
                <w:sz w:val="1"/>
                <w:szCs w:val="1"/>
                <w:lang w:eastAsia="ru-RU"/>
              </w:rPr>
            </w:pPr>
          </w:p>
        </w:tc>
      </w:tr>
    </w:tbl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14EAE">
        <w:rPr>
          <w:rFonts w:ascii="Liberation Serif" w:eastAsia="Times New Roman" w:hAnsi="Liberation Serif" w:cs="Times New Roman"/>
          <w:sz w:val="27"/>
          <w:szCs w:val="27"/>
          <w:lang w:eastAsia="ru-RU"/>
        </w:rPr>
        <w:t>2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приложения № 2, № 3 к Программе изложить в новой редакции (прилагаются).</w:t>
      </w:r>
    </w:p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6" w:history="1">
        <w:r w:rsidRPr="00AD44FA">
          <w:rPr>
            <w:rStyle w:val="a4"/>
            <w:rFonts w:ascii="Liberation Serif" w:eastAsia="Times New Roman" w:hAnsi="Liberation Serif" w:cs="Times New Roman"/>
            <w:sz w:val="28"/>
            <w:szCs w:val="28"/>
            <w:lang w:eastAsia="ru-RU"/>
          </w:rPr>
          <w:t>www.верхняяпышма-право.рф</w:t>
        </w:r>
      </w:hyperlink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городского округа Верхняя Пышма (</w:t>
      </w:r>
      <w:r w:rsidRPr="00AD44F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AD44F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  <w:proofErr w:type="gramEnd"/>
    </w:p>
    <w:p w:rsidR="00B72B51" w:rsidRPr="00AD44FA" w:rsidRDefault="00B72B51" w:rsidP="00B72B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AD44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bookmarkEnd w:id="3"/>
    <w:p w:rsidR="00B72B51" w:rsidRPr="00AD44FA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B51" w:rsidRPr="001349B0" w:rsidRDefault="00B72B51" w:rsidP="00B72B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72B51" w:rsidRPr="001349B0" w:rsidTr="00206FA0">
        <w:tc>
          <w:tcPr>
            <w:tcW w:w="6237" w:type="dxa"/>
            <w:vAlign w:val="bottom"/>
          </w:tcPr>
          <w:p w:rsidR="00B72B51" w:rsidRPr="00AD44FA" w:rsidRDefault="00B72B51" w:rsidP="00206F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44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2B51" w:rsidRPr="00AD44FA" w:rsidRDefault="00B72B51" w:rsidP="00206FA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D44F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  <w:bookmarkEnd w:id="2"/>
      <w:bookmarkEnd w:id="4"/>
    </w:tbl>
    <w:p w:rsidR="00B72B51" w:rsidRPr="001349B0" w:rsidRDefault="00B72B51" w:rsidP="00B72B5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sectPr w:rsidR="00B72B51" w:rsidRPr="0013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C1"/>
    <w:rsid w:val="00057226"/>
    <w:rsid w:val="001D6C88"/>
    <w:rsid w:val="00480521"/>
    <w:rsid w:val="00625FC1"/>
    <w:rsid w:val="00934A10"/>
    <w:rsid w:val="00B72B5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Дарья Юрьевна</dc:creator>
  <cp:lastModifiedBy>Садыкова Дарья Юрьевна</cp:lastModifiedBy>
  <cp:revision>3</cp:revision>
  <dcterms:created xsi:type="dcterms:W3CDTF">2021-12-13T08:50:00Z</dcterms:created>
  <dcterms:modified xsi:type="dcterms:W3CDTF">2021-12-13T08:55:00Z</dcterms:modified>
</cp:coreProperties>
</file>