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B0" w:rsidRPr="006362B0" w:rsidRDefault="006362B0" w:rsidP="006362B0">
      <w:pPr>
        <w:spacing w:after="0" w:line="240" w:lineRule="auto"/>
        <w:ind w:right="263" w:firstLine="4111"/>
        <w:rPr>
          <w:rFonts w:cs="Arial"/>
        </w:rPr>
      </w:pPr>
      <w:r w:rsidRPr="006362B0">
        <w:rPr>
          <w:rFonts w:cs="Arial"/>
        </w:rPr>
        <w:t xml:space="preserve">К постановлению администрации </w:t>
      </w:r>
    </w:p>
    <w:p w:rsidR="006362B0" w:rsidRPr="006362B0" w:rsidRDefault="006362B0" w:rsidP="006362B0">
      <w:pPr>
        <w:spacing w:after="0" w:line="240" w:lineRule="auto"/>
        <w:ind w:right="263" w:firstLine="4111"/>
        <w:rPr>
          <w:rFonts w:cs="Arial"/>
        </w:rPr>
      </w:pPr>
      <w:r w:rsidRPr="006362B0">
        <w:rPr>
          <w:rFonts w:cs="Arial"/>
        </w:rPr>
        <w:t>городского округа Верхняя Пышма</w:t>
      </w:r>
    </w:p>
    <w:p w:rsidR="006362B0" w:rsidRPr="006362B0" w:rsidRDefault="006362B0" w:rsidP="006362B0">
      <w:pPr>
        <w:spacing w:after="0" w:line="240" w:lineRule="auto"/>
        <w:ind w:right="263" w:firstLine="4111"/>
        <w:rPr>
          <w:rFonts w:cs="Arial"/>
        </w:rPr>
      </w:pPr>
      <w:r w:rsidRPr="006362B0">
        <w:rPr>
          <w:rFonts w:cs="Arial"/>
        </w:rPr>
        <w:t>от _________________ № ________</w:t>
      </w:r>
    </w:p>
    <w:p w:rsidR="006362B0" w:rsidRPr="006362B0" w:rsidRDefault="006362B0" w:rsidP="006362B0">
      <w:pPr>
        <w:spacing w:after="0" w:line="240" w:lineRule="auto"/>
        <w:ind w:right="263" w:firstLine="4111"/>
        <w:rPr>
          <w:rFonts w:cs="Arial"/>
        </w:rPr>
      </w:pPr>
    </w:p>
    <w:p w:rsidR="006362B0" w:rsidRPr="006362B0" w:rsidRDefault="006362B0" w:rsidP="006362B0">
      <w:pPr>
        <w:spacing w:after="0" w:line="240" w:lineRule="auto"/>
        <w:ind w:right="263" w:firstLine="4111"/>
        <w:rPr>
          <w:rFonts w:cs="Arial"/>
        </w:rPr>
      </w:pPr>
      <w:r w:rsidRPr="006362B0">
        <w:rPr>
          <w:rFonts w:cs="Arial"/>
        </w:rPr>
        <w:t xml:space="preserve">Приложение </w:t>
      </w:r>
    </w:p>
    <w:p w:rsidR="006362B0" w:rsidRPr="006362B0" w:rsidRDefault="006362B0" w:rsidP="006362B0">
      <w:pPr>
        <w:spacing w:after="0" w:line="240" w:lineRule="auto"/>
        <w:ind w:right="263" w:firstLine="4111"/>
        <w:rPr>
          <w:rFonts w:cs="Arial"/>
        </w:rPr>
      </w:pPr>
      <w:r w:rsidRPr="006362B0">
        <w:rPr>
          <w:rFonts w:cs="Arial"/>
        </w:rPr>
        <w:t xml:space="preserve">к муниципальной программе </w:t>
      </w:r>
    </w:p>
    <w:p w:rsidR="006362B0" w:rsidRPr="006362B0" w:rsidRDefault="006362B0" w:rsidP="006362B0">
      <w:pPr>
        <w:spacing w:after="0" w:line="240" w:lineRule="auto"/>
        <w:ind w:right="263" w:firstLine="4111"/>
        <w:rPr>
          <w:rFonts w:cs="Arial"/>
        </w:rPr>
      </w:pPr>
      <w:r w:rsidRPr="006362B0">
        <w:rPr>
          <w:rFonts w:cs="Arial"/>
        </w:rPr>
        <w:t>«Развитие социальной сферы</w:t>
      </w:r>
    </w:p>
    <w:p w:rsidR="006362B0" w:rsidRPr="006362B0" w:rsidRDefault="006362B0" w:rsidP="006362B0">
      <w:pPr>
        <w:spacing w:after="0" w:line="240" w:lineRule="auto"/>
        <w:ind w:firstLine="4111"/>
      </w:pPr>
      <w:r w:rsidRPr="006362B0">
        <w:rPr>
          <w:rFonts w:cs="Arial"/>
        </w:rPr>
        <w:t>в городском округе Верхняя Пышма до 2024 года</w:t>
      </w:r>
    </w:p>
    <w:p w:rsidR="006362B0" w:rsidRPr="006362B0" w:rsidRDefault="006362B0" w:rsidP="006362B0"/>
    <w:p w:rsidR="006362B0" w:rsidRDefault="006362B0"/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260"/>
        <w:gridCol w:w="5540"/>
      </w:tblGrid>
      <w:tr w:rsidR="00B8012F" w:rsidRPr="00B8012F" w:rsidTr="00113571">
        <w:trPr>
          <w:trHeight w:val="390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8012F" w:rsidRDefault="00B8012F" w:rsidP="00B8012F">
            <w:pPr>
              <w:jc w:val="center"/>
              <w:rPr>
                <w:b/>
                <w:bCs/>
              </w:rPr>
            </w:pPr>
            <w:r w:rsidRPr="00B8012F">
              <w:rPr>
                <w:b/>
                <w:bCs/>
              </w:rPr>
              <w:t>ПАСПОРТ</w:t>
            </w:r>
          </w:p>
          <w:p w:rsidR="00B8012F" w:rsidRDefault="00B8012F" w:rsidP="00B8012F">
            <w:pPr>
              <w:jc w:val="center"/>
              <w:rPr>
                <w:b/>
                <w:bCs/>
              </w:rPr>
            </w:pPr>
            <w:r w:rsidRPr="00B8012F">
              <w:rPr>
                <w:b/>
                <w:bCs/>
              </w:rPr>
              <w:t>муниципальной программы</w:t>
            </w:r>
          </w:p>
          <w:p w:rsidR="00B8012F" w:rsidRPr="00B8012F" w:rsidRDefault="00B8012F" w:rsidP="00B8012F">
            <w:pPr>
              <w:jc w:val="center"/>
              <w:rPr>
                <w:b/>
                <w:bCs/>
              </w:rPr>
            </w:pPr>
            <w:r w:rsidRPr="00B8012F">
              <w:rPr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  <w:tr w:rsidR="00B8012F" w:rsidRPr="00B8012F" w:rsidTr="00113571">
        <w:trPr>
          <w:trHeight w:val="375"/>
        </w:trPr>
        <w:tc>
          <w:tcPr>
            <w:tcW w:w="8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012F" w:rsidRPr="00B8012F" w:rsidRDefault="00B8012F" w:rsidP="00B8012F">
            <w:pPr>
              <w:jc w:val="center"/>
              <w:rPr>
                <w:b/>
                <w:bCs/>
              </w:rPr>
            </w:pPr>
          </w:p>
        </w:tc>
      </w:tr>
      <w:tr w:rsidR="00B8012F" w:rsidRPr="00B8012F" w:rsidTr="00113571">
        <w:trPr>
          <w:trHeight w:val="402"/>
        </w:trPr>
        <w:tc>
          <w:tcPr>
            <w:tcW w:w="3260" w:type="dxa"/>
            <w:tcBorders>
              <w:top w:val="single" w:sz="4" w:space="0" w:color="auto"/>
            </w:tcBorders>
            <w:hideMark/>
          </w:tcPr>
          <w:p w:rsidR="00B8012F" w:rsidRPr="00B8012F" w:rsidRDefault="00B8012F">
            <w:r w:rsidRPr="00B8012F">
              <w:t>Ответственный исполнитель муниципальной программы</w:t>
            </w:r>
          </w:p>
        </w:tc>
        <w:tc>
          <w:tcPr>
            <w:tcW w:w="5540" w:type="dxa"/>
            <w:tcBorders>
              <w:top w:val="single" w:sz="4" w:space="0" w:color="auto"/>
            </w:tcBorders>
            <w:hideMark/>
          </w:tcPr>
          <w:p w:rsidR="00B8012F" w:rsidRPr="00B8012F" w:rsidRDefault="00F528E5">
            <w:r>
              <w:t xml:space="preserve">Отдел социальной политики администрации </w:t>
            </w:r>
            <w:bookmarkStart w:id="0" w:name="_GoBack"/>
            <w:bookmarkEnd w:id="0"/>
            <w:r w:rsidR="00B8012F" w:rsidRPr="00B8012F">
              <w:t>городского округа Верхняя Пышма</w:t>
            </w:r>
          </w:p>
        </w:tc>
      </w:tr>
      <w:tr w:rsidR="00727939" w:rsidRPr="00B8012F" w:rsidTr="00113571">
        <w:trPr>
          <w:trHeight w:val="451"/>
        </w:trPr>
        <w:tc>
          <w:tcPr>
            <w:tcW w:w="3260" w:type="dxa"/>
          </w:tcPr>
          <w:p w:rsidR="00727939" w:rsidRPr="00B8012F" w:rsidRDefault="00727939" w:rsidP="00727939">
            <w:r>
              <w:t>Соисполнители муниципальной программы</w:t>
            </w:r>
          </w:p>
        </w:tc>
        <w:tc>
          <w:tcPr>
            <w:tcW w:w="5540" w:type="dxa"/>
          </w:tcPr>
          <w:p w:rsidR="00727939" w:rsidRPr="00B8012F" w:rsidRDefault="00727939">
            <w:r>
              <w:t>Муниципальные казенные учреждения «Управление образования городского округа Верхняя Пышма», «Управление физической культуры, спорта и молодежной политики городского округа Верхняя Пышма», «Управление культуры городского округа Верхняя Пышма»</w:t>
            </w:r>
          </w:p>
        </w:tc>
      </w:tr>
      <w:tr w:rsidR="00B8012F" w:rsidRPr="00B8012F" w:rsidTr="00727939">
        <w:trPr>
          <w:trHeight w:val="451"/>
        </w:trPr>
        <w:tc>
          <w:tcPr>
            <w:tcW w:w="3260" w:type="dxa"/>
          </w:tcPr>
          <w:p w:rsidR="00B8012F" w:rsidRPr="00B8012F" w:rsidRDefault="00727939">
            <w:r>
              <w:t>Участники муниципальной программы</w:t>
            </w:r>
          </w:p>
        </w:tc>
        <w:tc>
          <w:tcPr>
            <w:tcW w:w="5540" w:type="dxa"/>
          </w:tcPr>
          <w:p w:rsidR="00B8012F" w:rsidRPr="00B8012F" w:rsidRDefault="00727939" w:rsidP="00727939">
            <w:r>
              <w:t>Муниципальные учреждения в сфере образования городского округа Верхняя Пышма, в сфере физической культуры, спорта и молодежной политики городского округа Верхняя Пышма, в сфере культуры городского округа Верхняя Пышма</w:t>
            </w:r>
          </w:p>
        </w:tc>
      </w:tr>
      <w:tr w:rsidR="00727939" w:rsidRPr="00B8012F" w:rsidTr="00113571">
        <w:trPr>
          <w:trHeight w:val="451"/>
        </w:trPr>
        <w:tc>
          <w:tcPr>
            <w:tcW w:w="3260" w:type="dxa"/>
          </w:tcPr>
          <w:p w:rsidR="00727939" w:rsidRPr="00B8012F" w:rsidRDefault="00727939" w:rsidP="00727939">
            <w:r w:rsidRPr="00B8012F">
              <w:t>Сроки реализации муниципальной программы</w:t>
            </w:r>
          </w:p>
        </w:tc>
        <w:tc>
          <w:tcPr>
            <w:tcW w:w="5540" w:type="dxa"/>
          </w:tcPr>
          <w:p w:rsidR="00727939" w:rsidRPr="00B8012F" w:rsidRDefault="00727939" w:rsidP="00727939">
            <w:r w:rsidRPr="00B8012F">
              <w:t>2019 - 2024 годы</w:t>
            </w:r>
          </w:p>
        </w:tc>
      </w:tr>
      <w:tr w:rsidR="00113571" w:rsidRPr="00B8012F" w:rsidTr="00113571">
        <w:trPr>
          <w:trHeight w:val="1068"/>
        </w:trPr>
        <w:tc>
          <w:tcPr>
            <w:tcW w:w="3260" w:type="dxa"/>
            <w:vMerge w:val="restart"/>
            <w:hideMark/>
          </w:tcPr>
          <w:p w:rsidR="00113571" w:rsidRPr="00B8012F" w:rsidRDefault="00113571" w:rsidP="00113571">
            <w:r w:rsidRPr="00B8012F">
              <w:t>Цели и задачи муниципальной программы</w:t>
            </w:r>
          </w:p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113571" w:rsidRPr="00B8012F" w:rsidTr="00113571">
        <w:trPr>
          <w:trHeight w:val="64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1.1. Создание лицензионных условий в образовательных учреждениях общего и дополнительного образования</w:t>
            </w:r>
          </w:p>
        </w:tc>
      </w:tr>
      <w:tr w:rsidR="00113571" w:rsidRPr="00B8012F" w:rsidTr="00113571">
        <w:trPr>
          <w:trHeight w:val="58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113571" w:rsidRPr="00B8012F" w:rsidTr="00113571">
        <w:trPr>
          <w:trHeight w:val="952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113571" w:rsidRPr="00B8012F" w:rsidTr="00113571">
        <w:trPr>
          <w:trHeight w:val="48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113571" w:rsidRPr="00B8012F" w:rsidTr="00113571">
        <w:trPr>
          <w:trHeight w:val="864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1.5. Обеспечение бесплатного проезда детей-сирот и детей, оставшихся без попечения родителей, обучающихся в муниципальных общеобразовательных учреждениях, на городском, пригородном транспорте</w:t>
            </w:r>
          </w:p>
        </w:tc>
      </w:tr>
      <w:tr w:rsidR="00113571" w:rsidRPr="00B8012F" w:rsidTr="00113571">
        <w:trPr>
          <w:trHeight w:val="836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1.6.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113571" w:rsidRPr="00B8012F" w:rsidTr="00113571">
        <w:trPr>
          <w:trHeight w:val="1220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113571" w:rsidRPr="00B8012F" w:rsidTr="00113571">
        <w:trPr>
          <w:trHeight w:val="812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113571" w:rsidRPr="00B8012F" w:rsidTr="00113571">
        <w:trPr>
          <w:trHeight w:val="912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1.9.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113571" w:rsidRPr="00B8012F" w:rsidTr="00113571">
        <w:trPr>
          <w:trHeight w:val="459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1.10. Реализация программ и форм для талантливых детей</w:t>
            </w:r>
          </w:p>
        </w:tc>
      </w:tr>
      <w:tr w:rsidR="00113571" w:rsidRPr="00B8012F" w:rsidTr="00113571">
        <w:trPr>
          <w:trHeight w:val="36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1.11. Формирование у детей навыков безопасного поведения на улицах и дорогах</w:t>
            </w:r>
          </w:p>
        </w:tc>
      </w:tr>
      <w:tr w:rsidR="00113571" w:rsidRPr="00B8012F" w:rsidTr="00113571">
        <w:trPr>
          <w:trHeight w:val="559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 xml:space="preserve">Задача 1.12. Материально-техническое обеспечение системы образования в городском округе Верхняя Пышма </w:t>
            </w:r>
          </w:p>
        </w:tc>
      </w:tr>
      <w:tr w:rsidR="00113571" w:rsidRPr="00B8012F" w:rsidTr="00113571">
        <w:trPr>
          <w:trHeight w:val="853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113571" w:rsidRPr="00B8012F" w:rsidTr="00113571">
        <w:trPr>
          <w:trHeight w:val="528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113571" w:rsidRPr="00B8012F" w:rsidTr="00113571">
        <w:trPr>
          <w:trHeight w:val="90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113571" w:rsidRPr="00B8012F" w:rsidTr="00113571">
        <w:trPr>
          <w:trHeight w:val="29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2.1. Формирование культуры здорового питания обучающихся</w:t>
            </w:r>
          </w:p>
        </w:tc>
      </w:tr>
      <w:tr w:rsidR="00113571" w:rsidRPr="00B8012F" w:rsidTr="00113571">
        <w:trPr>
          <w:trHeight w:val="20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113571" w:rsidRPr="00B8012F" w:rsidTr="00113571">
        <w:trPr>
          <w:trHeight w:val="39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113571" w:rsidRPr="00B8012F" w:rsidTr="00113571">
        <w:trPr>
          <w:trHeight w:val="186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113571" w:rsidRPr="00B8012F" w:rsidTr="00113571">
        <w:trPr>
          <w:trHeight w:val="54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113571" w:rsidRPr="00B8012F" w:rsidTr="00113571">
        <w:trPr>
          <w:trHeight w:val="1196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113571" w:rsidRPr="00B8012F" w:rsidTr="00113571">
        <w:trPr>
          <w:trHeight w:val="66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113571" w:rsidRPr="00B8012F" w:rsidTr="00113571">
        <w:trPr>
          <w:trHeight w:val="463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4. Создание благоприятных условий для устойчивого развития сферы культуры</w:t>
            </w:r>
          </w:p>
        </w:tc>
      </w:tr>
      <w:tr w:rsidR="00113571" w:rsidRPr="00B8012F" w:rsidTr="00113571">
        <w:trPr>
          <w:trHeight w:val="331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4.1. Повышение доступности и качества библиотечных услуг</w:t>
            </w:r>
          </w:p>
        </w:tc>
      </w:tr>
      <w:tr w:rsidR="00113571" w:rsidRPr="00B8012F" w:rsidTr="00113571">
        <w:trPr>
          <w:trHeight w:val="253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113571" w:rsidRPr="00B8012F" w:rsidTr="00113571">
        <w:trPr>
          <w:trHeight w:val="870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4.3.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113571" w:rsidRPr="00B8012F" w:rsidTr="00113571">
        <w:trPr>
          <w:trHeight w:val="276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113571" w:rsidRPr="00B8012F" w:rsidTr="00113571">
        <w:trPr>
          <w:trHeight w:val="453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5.1. Совершенствование форм организации отдыха и оздоровления детей</w:t>
            </w:r>
          </w:p>
        </w:tc>
      </w:tr>
      <w:tr w:rsidR="00113571" w:rsidRPr="00B8012F" w:rsidTr="00113571">
        <w:trPr>
          <w:trHeight w:val="569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113571" w:rsidRPr="00B8012F" w:rsidTr="00113571">
        <w:trPr>
          <w:trHeight w:val="428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5.3. Сохранение и развитие инфраструктуры системы отдыха и оздоровления детей</w:t>
            </w:r>
          </w:p>
        </w:tc>
      </w:tr>
      <w:tr w:rsidR="00113571" w:rsidRPr="00B8012F" w:rsidTr="00113571">
        <w:trPr>
          <w:trHeight w:val="1278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113571" w:rsidRPr="00B8012F" w:rsidTr="00113571">
        <w:trPr>
          <w:trHeight w:val="1158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113571" w:rsidRPr="00B8012F" w:rsidTr="00113571">
        <w:trPr>
          <w:trHeight w:val="59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113571" w:rsidRPr="00B8012F" w:rsidTr="00113571">
        <w:trPr>
          <w:trHeight w:val="53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113571" w:rsidRPr="00B8012F" w:rsidTr="00113571">
        <w:trPr>
          <w:trHeight w:val="191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6.4. Поддержка перспективных спортсменов</w:t>
            </w:r>
          </w:p>
        </w:tc>
      </w:tr>
      <w:tr w:rsidR="00113571" w:rsidRPr="00B8012F" w:rsidTr="00113571">
        <w:trPr>
          <w:trHeight w:val="1202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113571" w:rsidRPr="00B8012F" w:rsidTr="00113571">
        <w:trPr>
          <w:trHeight w:val="781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113571" w:rsidRPr="00B8012F" w:rsidTr="00113571">
        <w:trPr>
          <w:trHeight w:val="89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6.7. Подготовка спортивной и иной инфраструктуры, необходимой для проведения ХХХII Всемирной летней Универсиады 2023 года в городе Екатеринбурге</w:t>
            </w:r>
          </w:p>
        </w:tc>
      </w:tr>
      <w:tr w:rsidR="00113571" w:rsidRPr="00B8012F" w:rsidTr="00113571">
        <w:trPr>
          <w:trHeight w:val="1561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113571" w:rsidRPr="00B8012F" w:rsidTr="00113571">
        <w:trPr>
          <w:trHeight w:val="921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113571" w:rsidRPr="00B8012F" w:rsidTr="00113571">
        <w:trPr>
          <w:trHeight w:val="924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113571" w:rsidRPr="00B8012F" w:rsidTr="00113571">
        <w:trPr>
          <w:trHeight w:val="897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113571" w:rsidRPr="00B8012F" w:rsidTr="00113571">
        <w:trPr>
          <w:trHeight w:val="995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113571" w:rsidRPr="00B8012F" w:rsidTr="00113571">
        <w:trPr>
          <w:trHeight w:val="286"/>
        </w:trPr>
        <w:tc>
          <w:tcPr>
            <w:tcW w:w="3260" w:type="dxa"/>
            <w:vMerge/>
            <w:hideMark/>
          </w:tcPr>
          <w:p w:rsidR="00113571" w:rsidRPr="00B8012F" w:rsidRDefault="00113571" w:rsidP="0097171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Цель 8. Осуществление эффективной деятельности муниципальных казенных учреждений</w:t>
            </w:r>
          </w:p>
        </w:tc>
      </w:tr>
      <w:tr w:rsidR="00113571" w:rsidRPr="00B8012F" w:rsidTr="00113571">
        <w:trPr>
          <w:trHeight w:val="428"/>
        </w:trPr>
        <w:tc>
          <w:tcPr>
            <w:tcW w:w="3260" w:type="dxa"/>
            <w:vMerge/>
            <w:hideMark/>
          </w:tcPr>
          <w:p w:rsidR="00113571" w:rsidRPr="00B8012F" w:rsidRDefault="00113571"/>
        </w:tc>
        <w:tc>
          <w:tcPr>
            <w:tcW w:w="5540" w:type="dxa"/>
            <w:hideMark/>
          </w:tcPr>
          <w:p w:rsidR="00113571" w:rsidRPr="00B8012F" w:rsidRDefault="00113571">
            <w:r w:rsidRPr="00B8012F">
              <w:t>Задача 8.1. Повышение качества оказания муниципальных услуг (работ) в социальной сфере</w:t>
            </w:r>
          </w:p>
        </w:tc>
      </w:tr>
      <w:tr w:rsidR="00C17EA1" w:rsidRPr="00B8012F" w:rsidTr="00113571">
        <w:trPr>
          <w:trHeight w:val="464"/>
        </w:trPr>
        <w:tc>
          <w:tcPr>
            <w:tcW w:w="3260" w:type="dxa"/>
            <w:vMerge w:val="restart"/>
            <w:hideMark/>
          </w:tcPr>
          <w:p w:rsidR="00C17EA1" w:rsidRPr="00B8012F" w:rsidRDefault="00C17EA1" w:rsidP="00C17EA1">
            <w:r w:rsidRPr="00B8012F">
              <w:t xml:space="preserve">Перечень подпрограмм муниципальной программы (при их наличии) </w:t>
            </w:r>
          </w:p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1. «Развитие системы образования на территории городского округа Верхняя Пышма до 2024 года»</w:t>
            </w:r>
          </w:p>
        </w:tc>
      </w:tr>
      <w:tr w:rsidR="00C17EA1" w:rsidRPr="00B8012F" w:rsidTr="00113571">
        <w:trPr>
          <w:trHeight w:val="687"/>
        </w:trPr>
        <w:tc>
          <w:tcPr>
            <w:tcW w:w="3260" w:type="dxa"/>
            <w:vMerge/>
            <w:hideMark/>
          </w:tcPr>
          <w:p w:rsidR="00C17EA1" w:rsidRPr="00B8012F" w:rsidRDefault="00C17EA1" w:rsidP="00A50E98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C17EA1" w:rsidRPr="00B8012F" w:rsidTr="00113571">
        <w:trPr>
          <w:trHeight w:val="357"/>
        </w:trPr>
        <w:tc>
          <w:tcPr>
            <w:tcW w:w="3260" w:type="dxa"/>
            <w:vMerge/>
            <w:hideMark/>
          </w:tcPr>
          <w:p w:rsidR="00C17EA1" w:rsidRPr="00B8012F" w:rsidRDefault="00C17EA1" w:rsidP="00A50E98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3. «Патриотическое воспитание граждан на территории городского округа Верхняя Пышма до 2024 года»</w:t>
            </w:r>
          </w:p>
        </w:tc>
      </w:tr>
      <w:tr w:rsidR="00C17EA1" w:rsidRPr="00B8012F" w:rsidTr="00113571">
        <w:trPr>
          <w:trHeight w:val="40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4. «Развитие культуры и искусства на территории городского округа Верхняя Пышма до 2024 года»</w:t>
            </w:r>
          </w:p>
        </w:tc>
      </w:tr>
      <w:tr w:rsidR="00C17EA1" w:rsidRPr="00B8012F" w:rsidTr="00113571">
        <w:trPr>
          <w:trHeight w:val="74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5. «Развитие системы отдыха и оздоровления детей на территории городского округа Верхняя Пышма до 2024 года»</w:t>
            </w:r>
          </w:p>
        </w:tc>
      </w:tr>
      <w:tr w:rsidR="00C17EA1" w:rsidRPr="00B8012F" w:rsidTr="00113571">
        <w:trPr>
          <w:trHeight w:val="66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6. «Развитие физической культуры и спорта на территории городского округа Верхняя Пышма до 2024 года»</w:t>
            </w:r>
          </w:p>
        </w:tc>
      </w:tr>
      <w:tr w:rsidR="00C17EA1" w:rsidRPr="00B8012F" w:rsidTr="00113571">
        <w:trPr>
          <w:trHeight w:val="338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7. «Молодежь городского округа Верхняя Пышма до 2024 года»</w:t>
            </w:r>
          </w:p>
        </w:tc>
      </w:tr>
      <w:tr w:rsidR="00C17EA1" w:rsidRPr="00B8012F" w:rsidTr="00113571">
        <w:trPr>
          <w:trHeight w:val="67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</w:tr>
      <w:tr w:rsidR="00C17EA1" w:rsidRPr="00B8012F" w:rsidTr="00113571">
        <w:trPr>
          <w:trHeight w:val="1036"/>
        </w:trPr>
        <w:tc>
          <w:tcPr>
            <w:tcW w:w="3260" w:type="dxa"/>
            <w:vMerge w:val="restart"/>
            <w:hideMark/>
          </w:tcPr>
          <w:p w:rsidR="00C17EA1" w:rsidRPr="00B8012F" w:rsidRDefault="00C17EA1" w:rsidP="00C17EA1">
            <w:r w:rsidRPr="00B8012F">
              <w:t xml:space="preserve">Перечень основных целевых показателей муниципальной программы </w:t>
            </w:r>
          </w:p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1. Доля образовательных учреждений, имеющих лицензию на право ведения образовательной деятельности, от общего количества муниципальных образовательных учреждений</w:t>
            </w:r>
          </w:p>
        </w:tc>
      </w:tr>
      <w:tr w:rsidR="00C17EA1" w:rsidRPr="00B8012F" w:rsidTr="00113571">
        <w:trPr>
          <w:trHeight w:val="2114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2. 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</w:tr>
      <w:tr w:rsidR="00C17EA1" w:rsidRPr="00B8012F" w:rsidTr="00113571">
        <w:trPr>
          <w:trHeight w:val="531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3. 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</w:tr>
      <w:tr w:rsidR="00C17EA1" w:rsidRPr="00B8012F" w:rsidTr="00113571">
        <w:trPr>
          <w:trHeight w:val="613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4. Количество созданных центров «Точка роста» на базе общеобразовательных учреждений городского округа Верхняя Пышма</w:t>
            </w:r>
          </w:p>
        </w:tc>
      </w:tr>
      <w:tr w:rsidR="00C17EA1" w:rsidRPr="00B8012F" w:rsidTr="00113571">
        <w:trPr>
          <w:trHeight w:val="1404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5. 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</w:tr>
      <w:tr w:rsidR="00C17EA1" w:rsidRPr="00B8012F" w:rsidTr="00113571">
        <w:trPr>
          <w:trHeight w:val="1278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6. 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</w:tr>
      <w:tr w:rsidR="00C17EA1" w:rsidRPr="00B8012F" w:rsidTr="00113571">
        <w:trPr>
          <w:trHeight w:val="1420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7. 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</w:tr>
      <w:tr w:rsidR="00C17EA1" w:rsidRPr="00B8012F" w:rsidTr="00113571">
        <w:trPr>
          <w:trHeight w:val="1441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8. 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C17EA1" w:rsidRPr="00B8012F" w:rsidTr="00113571">
        <w:trPr>
          <w:trHeight w:val="1934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9. 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</w:p>
        </w:tc>
      </w:tr>
      <w:tr w:rsidR="00C17EA1" w:rsidRPr="00B8012F" w:rsidTr="00113571">
        <w:trPr>
          <w:trHeight w:val="319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10. Количество автобусов, приобретённых для обеспечения подвоза обучающихся</w:t>
            </w:r>
          </w:p>
        </w:tc>
      </w:tr>
      <w:tr w:rsidR="00C17EA1" w:rsidRPr="00B8012F" w:rsidTr="00113571">
        <w:trPr>
          <w:trHeight w:val="1220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11. 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</w:tr>
      <w:tr w:rsidR="00C17EA1" w:rsidRPr="00B8012F" w:rsidTr="00113571">
        <w:trPr>
          <w:trHeight w:val="940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12. 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</w:tr>
      <w:tr w:rsidR="00C17EA1" w:rsidRPr="00B8012F" w:rsidTr="00113571">
        <w:trPr>
          <w:trHeight w:val="1196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13. 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</w:tr>
      <w:tr w:rsidR="00C17EA1" w:rsidRPr="00B8012F" w:rsidTr="00113571">
        <w:trPr>
          <w:trHeight w:val="1186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14. 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</w:tr>
      <w:tr w:rsidR="00C17EA1" w:rsidRPr="00B8012F" w:rsidTr="00113571">
        <w:trPr>
          <w:trHeight w:val="636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15. Уровень освоения обучающимися основной общеобразовательной программы начального общего образования</w:t>
            </w:r>
          </w:p>
        </w:tc>
      </w:tr>
      <w:tr w:rsidR="00C17EA1" w:rsidRPr="00B8012F" w:rsidTr="00113571">
        <w:trPr>
          <w:trHeight w:val="705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16. Уровень освоения обучающимися основной общеобразовательной программы основного общего образования</w:t>
            </w:r>
          </w:p>
        </w:tc>
      </w:tr>
      <w:tr w:rsidR="00C17EA1" w:rsidRPr="00B8012F" w:rsidTr="00113571">
        <w:trPr>
          <w:trHeight w:val="645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17. Уровень освоения обучающимися основной общеобразовательной программы среднего общего образования</w:t>
            </w:r>
          </w:p>
        </w:tc>
      </w:tr>
      <w:tr w:rsidR="00C17EA1" w:rsidRPr="00B8012F" w:rsidTr="00113571">
        <w:trPr>
          <w:trHeight w:val="1420"/>
        </w:trPr>
        <w:tc>
          <w:tcPr>
            <w:tcW w:w="3260" w:type="dxa"/>
            <w:vMerge/>
            <w:hideMark/>
          </w:tcPr>
          <w:p w:rsidR="00C17EA1" w:rsidRPr="00B8012F" w:rsidRDefault="00C17EA1" w:rsidP="004262E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18. 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</w:tr>
      <w:tr w:rsidR="00C17EA1" w:rsidRPr="00B8012F" w:rsidTr="00113571">
        <w:trPr>
          <w:trHeight w:val="71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19. 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</w:tr>
      <w:tr w:rsidR="00C17EA1" w:rsidRPr="00B8012F" w:rsidTr="00113571">
        <w:trPr>
          <w:trHeight w:val="116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20. 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</w:tr>
      <w:tr w:rsidR="00C17EA1" w:rsidRPr="00B8012F" w:rsidTr="00113571">
        <w:trPr>
          <w:trHeight w:val="72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21. 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</w:tr>
      <w:tr w:rsidR="00C17EA1" w:rsidRPr="00B8012F" w:rsidTr="00113571">
        <w:trPr>
          <w:trHeight w:val="948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22. 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</w:tr>
      <w:tr w:rsidR="00C17EA1" w:rsidRPr="00B8012F" w:rsidTr="00113571">
        <w:trPr>
          <w:trHeight w:val="92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23. 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</w:tr>
      <w:tr w:rsidR="00C17EA1" w:rsidRPr="00B8012F" w:rsidTr="00113571">
        <w:trPr>
          <w:trHeight w:val="60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24. 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</w:tr>
      <w:tr w:rsidR="00C17EA1" w:rsidRPr="00B8012F" w:rsidTr="00113571">
        <w:trPr>
          <w:trHeight w:val="54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25. Количество муниципальных общеобразовательных учреждений улучшивших материально -техническую базу</w:t>
            </w:r>
          </w:p>
        </w:tc>
      </w:tr>
      <w:tr w:rsidR="00C17EA1" w:rsidRPr="00B8012F" w:rsidTr="00113571">
        <w:trPr>
          <w:trHeight w:val="119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26. 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</w:tr>
      <w:tr w:rsidR="00C17EA1" w:rsidRPr="00B8012F" w:rsidTr="00113571">
        <w:trPr>
          <w:trHeight w:val="77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27. Количество муниципальных дошкольных учреждений, улучшивших материально-техническую базу</w:t>
            </w:r>
          </w:p>
        </w:tc>
      </w:tr>
      <w:tr w:rsidR="00C17EA1" w:rsidRPr="00B8012F" w:rsidTr="00113571">
        <w:trPr>
          <w:trHeight w:val="68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28. Количество муниципальных учреждений дополнительного образования, улучшивших материально-техническую базу</w:t>
            </w:r>
          </w:p>
        </w:tc>
      </w:tr>
      <w:tr w:rsidR="00C17EA1" w:rsidRPr="00B8012F" w:rsidTr="00113571">
        <w:trPr>
          <w:trHeight w:val="78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29. Количество муниципальных общеобразовательных организаций, в которых открыты (модернизированы) кабинеты естественно-научного цикла</w:t>
            </w:r>
          </w:p>
        </w:tc>
      </w:tr>
      <w:tr w:rsidR="00C17EA1" w:rsidRPr="00B8012F" w:rsidTr="00113571">
        <w:trPr>
          <w:trHeight w:val="98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30. 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профориентационной работы</w:t>
            </w:r>
          </w:p>
        </w:tc>
      </w:tr>
      <w:tr w:rsidR="00C17EA1" w:rsidRPr="00B8012F" w:rsidTr="00113571">
        <w:trPr>
          <w:trHeight w:val="152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31. 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дополнительного образования технической направленности</w:t>
            </w:r>
          </w:p>
        </w:tc>
      </w:tr>
      <w:tr w:rsidR="00C17EA1" w:rsidRPr="00B8012F" w:rsidTr="00113571">
        <w:trPr>
          <w:trHeight w:val="113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32. 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C17EA1" w:rsidRPr="00B8012F" w:rsidTr="00113571">
        <w:trPr>
          <w:trHeight w:val="55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33. Количество образовательных учреждений, которые оснащены приборами учета энергоресурсов </w:t>
            </w:r>
          </w:p>
        </w:tc>
      </w:tr>
      <w:tr w:rsidR="00C17EA1" w:rsidRPr="00B8012F" w:rsidTr="00113571">
        <w:trPr>
          <w:trHeight w:val="113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34. 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C17EA1" w:rsidRPr="00B8012F" w:rsidTr="00113571">
        <w:trPr>
          <w:trHeight w:val="112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35. 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C17EA1" w:rsidRPr="00B8012F" w:rsidTr="00113571">
        <w:trPr>
          <w:trHeight w:val="98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36. 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</w:tr>
      <w:tr w:rsidR="00C17EA1" w:rsidRPr="00B8012F" w:rsidTr="00113571">
        <w:trPr>
          <w:trHeight w:val="110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37. 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</w:tr>
      <w:tr w:rsidR="00C17EA1" w:rsidRPr="00B8012F" w:rsidTr="00113571">
        <w:trPr>
          <w:trHeight w:val="84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38. Количество проведённых общегородских мероприятий в сфере образования для педагогических работников</w:t>
            </w:r>
          </w:p>
        </w:tc>
      </w:tr>
      <w:tr w:rsidR="00C17EA1" w:rsidRPr="00B8012F" w:rsidTr="00113571">
        <w:trPr>
          <w:trHeight w:val="68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39. 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</w:tr>
      <w:tr w:rsidR="00C17EA1" w:rsidRPr="00B8012F" w:rsidTr="00113571">
        <w:trPr>
          <w:trHeight w:val="77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40.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C17EA1" w:rsidRPr="00B8012F" w:rsidTr="00113571">
        <w:trPr>
          <w:trHeight w:val="1703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41. Охват бесплатным горячим питанием обучающихся из числа льготныхкатегорий граждан, получающих основное и среднее общее образование вмуниципальных образовательных организациях (в соответствии со статьей 22 Закона Свердловской области от 15.07.2013 N 78-«Об образовании в Свердловской области»)</w:t>
            </w:r>
          </w:p>
        </w:tc>
      </w:tr>
      <w:tr w:rsidR="00C17EA1" w:rsidRPr="00B8012F" w:rsidTr="00113571">
        <w:trPr>
          <w:trHeight w:val="48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42. Количество школьных столовых, в которых произведена замена технологического оборудования </w:t>
            </w:r>
          </w:p>
        </w:tc>
      </w:tr>
      <w:tr w:rsidR="00C17EA1" w:rsidRPr="00B8012F" w:rsidTr="00113571">
        <w:trPr>
          <w:trHeight w:val="53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43. Количество школьных столовых, в которых заменена обеденная мебель</w:t>
            </w:r>
          </w:p>
        </w:tc>
      </w:tr>
      <w:tr w:rsidR="00C17EA1" w:rsidRPr="00B8012F" w:rsidTr="00113571">
        <w:trPr>
          <w:trHeight w:val="41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44. Количество школьных столовых, в которых произведена замена системы вентиляции</w:t>
            </w:r>
          </w:p>
        </w:tc>
      </w:tr>
      <w:tr w:rsidR="00C17EA1" w:rsidRPr="00B8012F" w:rsidTr="00113571">
        <w:trPr>
          <w:trHeight w:val="74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45. Количество  школьных столовых, в которых заменен кухонный инвентарь, столовая посуда, столовые приборы </w:t>
            </w:r>
          </w:p>
        </w:tc>
      </w:tr>
      <w:tr w:rsidR="00C17EA1" w:rsidRPr="00B8012F" w:rsidTr="00113571">
        <w:trPr>
          <w:trHeight w:val="428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46. Охват обучающихся льготных категорий (в соответствии со статьей 22 Закона Свердловской области от 15.07.2013 N 78-«Об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</w:tr>
      <w:tr w:rsidR="00C17EA1" w:rsidRPr="00B8012F" w:rsidTr="00113571">
        <w:trPr>
          <w:trHeight w:val="88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47. 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</w:tr>
      <w:tr w:rsidR="00C17EA1" w:rsidRPr="00B8012F" w:rsidTr="00113571">
        <w:trPr>
          <w:trHeight w:val="101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48. 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</w:tr>
      <w:tr w:rsidR="00C17EA1" w:rsidRPr="00B8012F" w:rsidTr="00113571">
        <w:trPr>
          <w:trHeight w:val="54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49. Количество созданных арт – объектов, патриотической направленности</w:t>
            </w:r>
          </w:p>
        </w:tc>
      </w:tr>
      <w:tr w:rsidR="00C17EA1" w:rsidRPr="00B8012F" w:rsidTr="00113571">
        <w:trPr>
          <w:trHeight w:val="112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50. 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</w:tr>
      <w:tr w:rsidR="00C17EA1" w:rsidRPr="00B8012F" w:rsidTr="00113571">
        <w:trPr>
          <w:trHeight w:val="84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51. 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</w:tr>
      <w:tr w:rsidR="00C17EA1" w:rsidRPr="00B8012F" w:rsidTr="00113571">
        <w:trPr>
          <w:trHeight w:val="70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52. Количество мероприятий по патриотическому воспитанию граждан в городском округе Верхняя Пышма</w:t>
            </w:r>
          </w:p>
        </w:tc>
      </w:tr>
      <w:tr w:rsidR="00C17EA1" w:rsidRPr="00B8012F" w:rsidTr="00113571">
        <w:trPr>
          <w:trHeight w:val="76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53. Количество действующих на территории городского округа Верхняя Пышма патриотических молодежных объединений</w:t>
            </w:r>
          </w:p>
        </w:tc>
      </w:tr>
      <w:tr w:rsidR="00C17EA1" w:rsidRPr="00B8012F" w:rsidTr="00113571">
        <w:trPr>
          <w:trHeight w:val="170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54. 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</w:tr>
      <w:tr w:rsidR="00C17EA1" w:rsidRPr="00B8012F" w:rsidTr="00113571">
        <w:trPr>
          <w:trHeight w:val="48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55. Количество записей в электронных каталогах в муниципальных общедоступных библиотеках</w:t>
            </w:r>
          </w:p>
        </w:tc>
      </w:tr>
      <w:tr w:rsidR="00C17EA1" w:rsidRPr="00B8012F" w:rsidTr="00113571">
        <w:trPr>
          <w:trHeight w:val="67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56. Количество муниципальных библиотек, подключенных к национальной электронной библиотеке (НЭБ)</w:t>
            </w:r>
          </w:p>
        </w:tc>
      </w:tr>
      <w:tr w:rsidR="00C17EA1" w:rsidRPr="00B8012F" w:rsidTr="00113571">
        <w:trPr>
          <w:trHeight w:val="483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57. Число посещений культурно-досуговых мероприятий</w:t>
            </w:r>
          </w:p>
        </w:tc>
      </w:tr>
      <w:tr w:rsidR="00C17EA1" w:rsidRPr="00B8012F" w:rsidTr="00113571">
        <w:trPr>
          <w:trHeight w:val="25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58. Количество муниципальных учреждений культуры, улучшивших материально-техническую базу</w:t>
            </w:r>
          </w:p>
        </w:tc>
      </w:tr>
      <w:tr w:rsidR="00C17EA1" w:rsidRPr="00B8012F" w:rsidTr="00113571">
        <w:trPr>
          <w:trHeight w:val="30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59. Число культурно-массовых мероприятий</w:t>
            </w:r>
          </w:p>
        </w:tc>
      </w:tr>
      <w:tr w:rsidR="00C17EA1" w:rsidRPr="00B8012F" w:rsidTr="00113571">
        <w:trPr>
          <w:trHeight w:val="26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60. Увеличение числа посетителей модельной библиотеки</w:t>
            </w:r>
          </w:p>
        </w:tc>
      </w:tr>
      <w:tr w:rsidR="00C17EA1" w:rsidRPr="00B8012F" w:rsidTr="00113571">
        <w:trPr>
          <w:trHeight w:val="73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61. Доля представленных (во всех формах) зрителю музейных предметов, в общем количестве музейных предметов основного фонда</w:t>
            </w:r>
          </w:p>
        </w:tc>
      </w:tr>
      <w:tr w:rsidR="00C17EA1" w:rsidRPr="00B8012F" w:rsidTr="00113571">
        <w:trPr>
          <w:trHeight w:val="97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62. Количество учреждений культуры, готовых к отопительному сезону, от общего количества муниципальных учреждений культуры городского округа Верхняя Пышма</w:t>
            </w:r>
          </w:p>
        </w:tc>
      </w:tr>
      <w:tr w:rsidR="00C17EA1" w:rsidRPr="00B8012F" w:rsidTr="00113571">
        <w:trPr>
          <w:trHeight w:val="99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63. Количество муниципальных учреждений культуры,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</w:tr>
      <w:tr w:rsidR="00C17EA1" w:rsidRPr="00B8012F" w:rsidTr="00113571">
        <w:trPr>
          <w:trHeight w:val="428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64. Увеличение количества выставок в МБУК "Верхнепышминский исторический музей"</w:t>
            </w:r>
          </w:p>
        </w:tc>
      </w:tr>
      <w:tr w:rsidR="00C17EA1" w:rsidRPr="00B8012F" w:rsidTr="00113571">
        <w:trPr>
          <w:trHeight w:val="18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65. Число посещений муниципальных библиотек</w:t>
            </w:r>
          </w:p>
        </w:tc>
      </w:tr>
      <w:tr w:rsidR="00C17EA1" w:rsidRPr="00B8012F" w:rsidTr="00113571">
        <w:trPr>
          <w:trHeight w:val="90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66.  Соотношение средней заработной платы муниципальных учреждений культуры и средней заработной платы в субъекте Российской Федерации (Процентов)</w:t>
            </w:r>
          </w:p>
        </w:tc>
      </w:tr>
      <w:tr w:rsidR="00C17EA1" w:rsidRPr="00B8012F" w:rsidTr="00113571">
        <w:trPr>
          <w:trHeight w:val="103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67. 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</w:tc>
      </w:tr>
      <w:tr w:rsidR="00C17EA1" w:rsidRPr="00B8012F" w:rsidTr="00113571">
        <w:trPr>
          <w:trHeight w:val="45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68. Количество детей в городском округе Верхняя Пышма, охваченных детско-юношеским туризмом</w:t>
            </w:r>
          </w:p>
        </w:tc>
      </w:tr>
      <w:tr w:rsidR="00C17EA1" w:rsidRPr="00B8012F" w:rsidTr="00113571">
        <w:trPr>
          <w:trHeight w:val="932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69. 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</w:tr>
      <w:tr w:rsidR="00C17EA1" w:rsidRPr="00B8012F" w:rsidTr="00113571">
        <w:trPr>
          <w:trHeight w:val="2053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70. 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безбарьерной среды для детей всех групп здоровья</w:t>
            </w:r>
          </w:p>
        </w:tc>
      </w:tr>
      <w:tr w:rsidR="00C17EA1" w:rsidRPr="00B8012F" w:rsidTr="00113571">
        <w:trPr>
          <w:trHeight w:val="67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71. Количество спортивных площадок, оснащенных специализированным оборудованием для занятий уличной гимнастикой</w:t>
            </w:r>
          </w:p>
        </w:tc>
      </w:tr>
      <w:tr w:rsidR="00C17EA1" w:rsidRPr="00B8012F" w:rsidTr="00113571">
        <w:trPr>
          <w:trHeight w:val="633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72. Количество муниципальных учреждений в сфере физической культуры и спорта, улучшивших материально-техническую базу</w:t>
            </w:r>
          </w:p>
        </w:tc>
      </w:tr>
      <w:tr w:rsidR="00C17EA1" w:rsidRPr="00B8012F" w:rsidTr="00113571">
        <w:trPr>
          <w:trHeight w:val="43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73. Количество спортивно - массовых и физкультурно-оздоровительных мероприятий</w:t>
            </w:r>
          </w:p>
        </w:tc>
      </w:tr>
      <w:tr w:rsidR="00C17EA1" w:rsidRPr="00B8012F" w:rsidTr="00113571">
        <w:trPr>
          <w:trHeight w:val="76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74. 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</w:tr>
      <w:tr w:rsidR="00C17EA1" w:rsidRPr="00B8012F" w:rsidTr="00113571">
        <w:trPr>
          <w:trHeight w:val="54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75. Ввод в эксплуатацию спортивной инфраструктуры муниципальной собственности</w:t>
            </w:r>
          </w:p>
        </w:tc>
      </w:tr>
      <w:tr w:rsidR="00C17EA1" w:rsidRPr="00B8012F" w:rsidTr="00113571">
        <w:trPr>
          <w:trHeight w:val="698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76. Количество объектов, в которых проведены мероприятия по энергосбережению и повышению энергетической эффективности</w:t>
            </w:r>
          </w:p>
        </w:tc>
      </w:tr>
      <w:tr w:rsidR="00C17EA1" w:rsidRPr="00B8012F" w:rsidTr="00113571">
        <w:trPr>
          <w:trHeight w:val="37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77. Количество объектов спортивной инфраструктуры, приведенных в нормативное состояние</w:t>
            </w:r>
          </w:p>
        </w:tc>
      </w:tr>
      <w:tr w:rsidR="00C17EA1" w:rsidRPr="00B8012F" w:rsidTr="00113571">
        <w:trPr>
          <w:trHeight w:val="98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78. 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</w:tr>
      <w:tr w:rsidR="00C17EA1" w:rsidRPr="00B8012F" w:rsidTr="00113571">
        <w:trPr>
          <w:trHeight w:val="802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79. 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</w:tr>
      <w:tr w:rsidR="00C17EA1" w:rsidRPr="00B8012F" w:rsidTr="00113571">
        <w:trPr>
          <w:trHeight w:val="1278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80. 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</w:tr>
      <w:tr w:rsidR="00C17EA1" w:rsidRPr="00B8012F" w:rsidTr="00113571">
        <w:trPr>
          <w:trHeight w:val="113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81. 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</w:tr>
      <w:tr w:rsidR="00C17EA1" w:rsidRPr="00B8012F" w:rsidTr="00113571">
        <w:trPr>
          <w:trHeight w:val="41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82. Количество присвоенных спортивных разрядов и квалификационных категорий</w:t>
            </w:r>
          </w:p>
        </w:tc>
      </w:tr>
      <w:tr w:rsidR="00C17EA1" w:rsidRPr="00B8012F" w:rsidTr="00113571">
        <w:trPr>
          <w:trHeight w:val="147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83.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</w:tr>
      <w:tr w:rsidR="00C17EA1" w:rsidRPr="00B8012F" w:rsidTr="00113571">
        <w:trPr>
          <w:trHeight w:val="64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84. 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</w:tr>
      <w:tr w:rsidR="00C17EA1" w:rsidRPr="00B8012F" w:rsidTr="00113571">
        <w:trPr>
          <w:trHeight w:val="101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85. 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</w:tr>
      <w:tr w:rsidR="00C17EA1" w:rsidRPr="00B8012F" w:rsidTr="00113571">
        <w:trPr>
          <w:trHeight w:val="68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86. Количество приобретенного оборудования для занятий в спортивных школах городского округа  Верхняя Пышма</w:t>
            </w:r>
          </w:p>
        </w:tc>
      </w:tr>
      <w:tr w:rsidR="00C17EA1" w:rsidRPr="00B8012F" w:rsidTr="00113571">
        <w:trPr>
          <w:trHeight w:val="149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87.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</w:tr>
      <w:tr w:rsidR="00C17EA1" w:rsidRPr="00B8012F" w:rsidTr="00113571">
        <w:trPr>
          <w:trHeight w:val="1512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88. 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C17EA1" w:rsidRPr="00B8012F" w:rsidTr="00113571">
        <w:trPr>
          <w:trHeight w:val="140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89. 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C17EA1" w:rsidRPr="00B8012F" w:rsidTr="00113571">
        <w:trPr>
          <w:trHeight w:val="1442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90. 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</w:tr>
      <w:tr w:rsidR="00C17EA1" w:rsidRPr="00B8012F" w:rsidTr="00113571">
        <w:trPr>
          <w:trHeight w:val="89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91. 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</w:tr>
      <w:tr w:rsidR="00C17EA1" w:rsidRPr="00B8012F" w:rsidTr="00113571">
        <w:trPr>
          <w:trHeight w:val="113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92. 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</w:tr>
      <w:tr w:rsidR="00C17EA1" w:rsidRPr="00B8012F" w:rsidTr="00113571">
        <w:trPr>
          <w:trHeight w:val="711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93. Количество действующих на территории городского округа Верхняя Пышма органов молодежного самоуправления</w:t>
            </w:r>
          </w:p>
        </w:tc>
      </w:tr>
      <w:tr w:rsidR="00C17EA1" w:rsidRPr="00B8012F" w:rsidTr="00113571">
        <w:trPr>
          <w:trHeight w:val="49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94. Количество мероприятий по работе с молодежью в городском округе Верхняя Пышма</w:t>
            </w:r>
          </w:p>
        </w:tc>
      </w:tr>
      <w:tr w:rsidR="00C17EA1" w:rsidRPr="00B8012F" w:rsidTr="00113571">
        <w:trPr>
          <w:trHeight w:val="68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95. Количество граждан, участвующих в добровольческой (волонтерской) деятельности в городском округе Верхняя Пышма</w:t>
            </w:r>
          </w:p>
        </w:tc>
      </w:tr>
      <w:tr w:rsidR="00C17EA1" w:rsidRPr="00B8012F" w:rsidTr="00113571">
        <w:trPr>
          <w:trHeight w:val="782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96. Количество поддержанных молодежных инициатив по результатам проекта "Банк молодежных инициатив" в городском округе Верхняя Пышма</w:t>
            </w:r>
          </w:p>
        </w:tc>
      </w:tr>
      <w:tr w:rsidR="00C17EA1" w:rsidRPr="00B8012F" w:rsidTr="00113571">
        <w:trPr>
          <w:trHeight w:val="554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97. Количество действующих молодежных коворкинг-центров</w:t>
            </w:r>
          </w:p>
        </w:tc>
      </w:tr>
      <w:tr w:rsidR="00C17EA1" w:rsidRPr="00B8012F" w:rsidTr="00113571">
        <w:trPr>
          <w:trHeight w:val="125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98.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</w:tr>
      <w:tr w:rsidR="00C17EA1" w:rsidRPr="00B8012F" w:rsidTr="00113571">
        <w:trPr>
          <w:trHeight w:val="1260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99. 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</w:tr>
      <w:tr w:rsidR="00C17EA1" w:rsidRPr="00B8012F" w:rsidTr="00113571">
        <w:trPr>
          <w:trHeight w:val="154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100.  Количество молодых граждан в возрасте от 14 до 35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</w:tr>
      <w:tr w:rsidR="00C17EA1" w:rsidRPr="00B8012F" w:rsidTr="00113571">
        <w:trPr>
          <w:trHeight w:val="1556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101. 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</w:tr>
      <w:tr w:rsidR="00C17EA1" w:rsidRPr="00B8012F" w:rsidTr="00113571">
        <w:trPr>
          <w:trHeight w:val="983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102. 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</w:tr>
      <w:tr w:rsidR="00C17EA1" w:rsidRPr="00B8012F" w:rsidTr="00113571">
        <w:trPr>
          <w:trHeight w:val="812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 xml:space="preserve">103. Количество муниципальных учреждений молодежной политики, улучшивших материально-техническую базу </w:t>
            </w:r>
          </w:p>
        </w:tc>
      </w:tr>
      <w:tr w:rsidR="00C17EA1" w:rsidRPr="00B8012F" w:rsidTr="00113571">
        <w:trPr>
          <w:trHeight w:val="697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104. 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</w:tr>
      <w:tr w:rsidR="00C17EA1" w:rsidRPr="00B8012F" w:rsidTr="00113571">
        <w:trPr>
          <w:trHeight w:val="778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105. 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</w:tr>
      <w:tr w:rsidR="00C17EA1" w:rsidRPr="00B8012F" w:rsidTr="00113571">
        <w:trPr>
          <w:trHeight w:val="549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106. Количество вновь созданных муниципальных учреждений по работе с молодежью</w:t>
            </w:r>
          </w:p>
        </w:tc>
      </w:tr>
      <w:tr w:rsidR="00C17EA1" w:rsidRPr="00B8012F" w:rsidTr="00113571">
        <w:trPr>
          <w:trHeight w:val="415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Pr="00B8012F" w:rsidRDefault="00C17EA1">
            <w:r w:rsidRPr="00B8012F">
              <w:t>107. Достижение целевых показателей муниципальной программы</w:t>
            </w:r>
          </w:p>
        </w:tc>
      </w:tr>
      <w:tr w:rsidR="00113571" w:rsidRPr="00B8012F" w:rsidTr="00113571">
        <w:trPr>
          <w:trHeight w:val="876"/>
        </w:trPr>
        <w:tc>
          <w:tcPr>
            <w:tcW w:w="3260" w:type="dxa"/>
            <w:vMerge w:val="restart"/>
            <w:hideMark/>
          </w:tcPr>
          <w:p w:rsidR="00113571" w:rsidRPr="00B8012F" w:rsidRDefault="00113571" w:rsidP="00C17EA1">
            <w:r>
              <w:t>Объ</w:t>
            </w:r>
            <w:r w:rsidRPr="00B8012F">
              <w:t>ем финансирования</w:t>
            </w:r>
            <w:r>
              <w:t xml:space="preserve"> </w:t>
            </w:r>
            <w:r w:rsidRPr="00C17EA1">
              <w:t>муниципальной</w:t>
            </w:r>
            <w:r>
              <w:t xml:space="preserve"> </w:t>
            </w:r>
            <w:r w:rsidRPr="00C17EA1">
              <w:t>программы по годам</w:t>
            </w:r>
            <w:r>
              <w:t xml:space="preserve"> </w:t>
            </w:r>
            <w:r w:rsidRPr="00C17EA1">
              <w:t>реализации, тыс. рублей</w:t>
            </w:r>
          </w:p>
          <w:p w:rsidR="00113571" w:rsidRPr="00B8012F" w:rsidRDefault="00113571" w:rsidP="002101B3"/>
        </w:tc>
        <w:tc>
          <w:tcPr>
            <w:tcW w:w="5540" w:type="dxa"/>
            <w:hideMark/>
          </w:tcPr>
          <w:p w:rsidR="00113571" w:rsidRDefault="00113571">
            <w:r w:rsidRPr="00B8012F">
              <w:t>ВСЕГО:</w:t>
            </w:r>
          </w:p>
          <w:p w:rsidR="00113571" w:rsidRPr="00B8012F" w:rsidRDefault="00113571" w:rsidP="005E07F6">
            <w:r w:rsidRPr="00C17EA1">
              <w:t>16 958 7</w:t>
            </w:r>
            <w:r w:rsidR="005E07F6">
              <w:t>40</w:t>
            </w:r>
            <w:r w:rsidRPr="00C17EA1">
              <w:t>,</w:t>
            </w:r>
            <w:r w:rsidR="005E07F6">
              <w:t>3</w:t>
            </w:r>
            <w:r w:rsidRPr="00C17EA1">
              <w:t xml:space="preserve"> тыс. рублей</w:t>
            </w:r>
          </w:p>
        </w:tc>
      </w:tr>
      <w:tr w:rsidR="00C17EA1" w:rsidRPr="00B8012F" w:rsidTr="00113571">
        <w:trPr>
          <w:trHeight w:val="1468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C17EA1">
              <w:t>в том числе:</w:t>
            </w:r>
          </w:p>
          <w:p w:rsidR="00C17EA1" w:rsidRPr="00B8012F" w:rsidRDefault="00C17EA1" w:rsidP="005E07F6">
            <w:r w:rsidRPr="00B8012F">
              <w:t>2019 год - 2 210</w:t>
            </w:r>
            <w:r w:rsidR="005E07F6">
              <w:t> </w:t>
            </w:r>
            <w:r w:rsidRPr="00B8012F">
              <w:t>274</w:t>
            </w:r>
            <w:r w:rsidR="005E07F6">
              <w:t>,6</w:t>
            </w:r>
            <w:r w:rsidRPr="00B8012F">
              <w:t xml:space="preserve"> тыс. рублей, </w:t>
            </w:r>
            <w:r w:rsidRPr="00B8012F">
              <w:br/>
              <w:t>2020 год - 2 629 972,</w:t>
            </w:r>
            <w:r w:rsidR="005E07F6">
              <w:t>6</w:t>
            </w:r>
            <w:r w:rsidRPr="00B8012F">
              <w:t xml:space="preserve"> тыс. рублей, </w:t>
            </w:r>
            <w:r w:rsidRPr="00B8012F">
              <w:br/>
              <w:t>2021 год - 2 935 219,</w:t>
            </w:r>
            <w:r w:rsidR="005E07F6">
              <w:t>3</w:t>
            </w:r>
            <w:r w:rsidRPr="00B8012F">
              <w:t xml:space="preserve"> тыс. рублей, </w:t>
            </w:r>
            <w:r w:rsidRPr="00B8012F">
              <w:br/>
              <w:t xml:space="preserve">2022 год - 3 169 001,1 тыс. рублей, </w:t>
            </w:r>
            <w:r w:rsidRPr="00B8012F">
              <w:br/>
              <w:t xml:space="preserve">2023 год - 2 993 012,8 тыс. рублей, </w:t>
            </w:r>
            <w:r w:rsidRPr="00B8012F">
              <w:br/>
              <w:t>2024 год - 3 021 259,9 тыс. рублей</w:t>
            </w:r>
          </w:p>
        </w:tc>
      </w:tr>
      <w:tr w:rsidR="00C17EA1" w:rsidRPr="00B8012F" w:rsidTr="00113571">
        <w:trPr>
          <w:trHeight w:val="360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B8012F">
              <w:t>из них:</w:t>
            </w:r>
          </w:p>
          <w:p w:rsidR="00C17EA1" w:rsidRDefault="00C17EA1">
            <w:r w:rsidRPr="00C17EA1">
              <w:t>областной бюджет</w:t>
            </w:r>
          </w:p>
          <w:p w:rsidR="00C17EA1" w:rsidRPr="00B8012F" w:rsidRDefault="00C17EA1" w:rsidP="00FB2D37">
            <w:r w:rsidRPr="00C17EA1">
              <w:t>7 944</w:t>
            </w:r>
            <w:r w:rsidR="00FB2D37">
              <w:t> 419,3</w:t>
            </w:r>
            <w:r w:rsidRPr="00C17EA1">
              <w:t xml:space="preserve"> тыс. рублей</w:t>
            </w:r>
          </w:p>
        </w:tc>
      </w:tr>
      <w:tr w:rsidR="00C17EA1" w:rsidRPr="00B8012F" w:rsidTr="00113571">
        <w:trPr>
          <w:trHeight w:val="360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C17EA1">
              <w:t>в том числе:</w:t>
            </w:r>
          </w:p>
          <w:p w:rsidR="00C17EA1" w:rsidRDefault="00C17EA1" w:rsidP="00C17EA1">
            <w:r>
              <w:t xml:space="preserve">2019 год - 1 067 431,2 тыс. рублей, </w:t>
            </w:r>
          </w:p>
          <w:p w:rsidR="00C17EA1" w:rsidRDefault="00C17EA1" w:rsidP="00C17EA1">
            <w:r>
              <w:t>2020 год - 1 227 804,</w:t>
            </w:r>
            <w:r w:rsidR="005E07F6">
              <w:t>5</w:t>
            </w:r>
            <w:r>
              <w:t xml:space="preserve"> тыс. рублей, </w:t>
            </w:r>
          </w:p>
          <w:p w:rsidR="00C17EA1" w:rsidRDefault="00C17EA1" w:rsidP="00C17EA1">
            <w:r>
              <w:t>2021 год - 1 270 455,</w:t>
            </w:r>
            <w:r w:rsidR="005E07F6">
              <w:t>5</w:t>
            </w:r>
            <w:r>
              <w:t xml:space="preserve"> тыс. рублей, </w:t>
            </w:r>
          </w:p>
          <w:p w:rsidR="00C17EA1" w:rsidRDefault="00C17EA1" w:rsidP="00C17EA1">
            <w:r>
              <w:t>2022 год - 1 448</w:t>
            </w:r>
            <w:r w:rsidR="00FB2D37">
              <w:t> 876,5</w:t>
            </w:r>
            <w:r>
              <w:t xml:space="preserve"> тыс. рублей, </w:t>
            </w:r>
          </w:p>
          <w:p w:rsidR="00C17EA1" w:rsidRDefault="00C17EA1" w:rsidP="00C17EA1">
            <w:r>
              <w:t xml:space="preserve">2023 год - 1 450 409,7 тыс. рублей, </w:t>
            </w:r>
          </w:p>
          <w:p w:rsidR="00C17EA1" w:rsidRPr="00B8012F" w:rsidRDefault="00C17EA1" w:rsidP="00C17EA1">
            <w:r>
              <w:t>2024 год - 1 479 441,9 тыс. рублей</w:t>
            </w:r>
          </w:p>
        </w:tc>
      </w:tr>
      <w:tr w:rsidR="00C17EA1" w:rsidRPr="00B8012F" w:rsidTr="00113571">
        <w:trPr>
          <w:trHeight w:val="360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B8012F">
              <w:t>федеральный бюджет</w:t>
            </w:r>
          </w:p>
          <w:p w:rsidR="00C17EA1" w:rsidRPr="00B8012F" w:rsidRDefault="00C17EA1">
            <w:r w:rsidRPr="00C17EA1">
              <w:t>107 686,7 тыс. рублей</w:t>
            </w:r>
          </w:p>
        </w:tc>
      </w:tr>
      <w:tr w:rsidR="00C17EA1" w:rsidRPr="00B8012F" w:rsidTr="00113571">
        <w:trPr>
          <w:trHeight w:val="360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B8012F">
              <w:t>в том числе:</w:t>
            </w:r>
          </w:p>
          <w:p w:rsidR="00C17EA1" w:rsidRPr="00B8012F" w:rsidRDefault="00C17EA1">
            <w:r w:rsidRPr="00B8012F">
              <w:t xml:space="preserve">2019 год - 5 980,0 тыс. рублей, </w:t>
            </w:r>
            <w:r w:rsidRPr="00B8012F">
              <w:br/>
              <w:t xml:space="preserve">2020 год - 28 432,8 тыс. рублей, </w:t>
            </w:r>
            <w:r w:rsidRPr="00B8012F">
              <w:br/>
              <w:t xml:space="preserve">2021 год - 73 273,9 тыс. рублей, </w:t>
            </w:r>
            <w:r w:rsidRPr="00B8012F">
              <w:br/>
              <w:t xml:space="preserve">2022 год - 0,0 тыс. рублей, </w:t>
            </w:r>
            <w:r w:rsidRPr="00B8012F">
              <w:br/>
              <w:t xml:space="preserve">2023 год - 0,0 тыс. рублей, </w:t>
            </w:r>
            <w:r w:rsidRPr="00B8012F">
              <w:br/>
              <w:t>2024 год - 0,0 тыс. рублей</w:t>
            </w:r>
          </w:p>
        </w:tc>
      </w:tr>
      <w:tr w:rsidR="00C17EA1" w:rsidRPr="00B8012F" w:rsidTr="00113571">
        <w:trPr>
          <w:trHeight w:val="360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B8012F">
              <w:t>местный бюджет</w:t>
            </w:r>
          </w:p>
          <w:p w:rsidR="00C17EA1" w:rsidRPr="00B8012F" w:rsidRDefault="00C17EA1" w:rsidP="00FB2D37">
            <w:r w:rsidRPr="00C17EA1">
              <w:t>8 906</w:t>
            </w:r>
            <w:r w:rsidR="00FB2D37">
              <w:t> 634,3</w:t>
            </w:r>
            <w:r w:rsidRPr="00C17EA1">
              <w:t xml:space="preserve"> тыс. рублей</w:t>
            </w:r>
          </w:p>
        </w:tc>
      </w:tr>
      <w:tr w:rsidR="00C17EA1" w:rsidRPr="00B8012F" w:rsidTr="00113571">
        <w:trPr>
          <w:trHeight w:val="360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B8012F">
              <w:t>в том числе:</w:t>
            </w:r>
          </w:p>
          <w:p w:rsidR="00C17EA1" w:rsidRPr="00B8012F" w:rsidRDefault="00C17EA1" w:rsidP="00FB2D37">
            <w:r w:rsidRPr="00C17EA1">
              <w:lastRenderedPageBreak/>
              <w:t>2019 год - 1 136 863,</w:t>
            </w:r>
            <w:r w:rsidR="005E07F6">
              <w:t>4</w:t>
            </w:r>
            <w:r w:rsidRPr="00C17EA1">
              <w:t xml:space="preserve"> тыс. рублей, </w:t>
            </w:r>
            <w:r w:rsidRPr="00C17EA1">
              <w:br/>
              <w:t>2020 год - 1 373</w:t>
            </w:r>
            <w:r w:rsidR="005E07F6">
              <w:t> </w:t>
            </w:r>
            <w:r w:rsidRPr="00C17EA1">
              <w:t>735</w:t>
            </w:r>
            <w:r w:rsidR="005E07F6">
              <w:t>,3</w:t>
            </w:r>
            <w:r w:rsidRPr="00C17EA1">
              <w:t xml:space="preserve"> тыс. рублей, </w:t>
            </w:r>
            <w:r w:rsidRPr="00C17EA1">
              <w:br/>
              <w:t>2021 год - 1 591 489,</w:t>
            </w:r>
            <w:r w:rsidR="005E07F6">
              <w:t>9</w:t>
            </w:r>
            <w:r w:rsidRPr="00C17EA1">
              <w:t xml:space="preserve"> тыс. рублей, </w:t>
            </w:r>
            <w:r w:rsidRPr="00C17EA1">
              <w:br/>
              <w:t>2022 год - 1 720 </w:t>
            </w:r>
            <w:r w:rsidR="00FB2D37">
              <w:t>124</w:t>
            </w:r>
            <w:r w:rsidRPr="00C17EA1">
              <w:t>,</w:t>
            </w:r>
            <w:r w:rsidR="00FB2D37">
              <w:t>6</w:t>
            </w:r>
            <w:r w:rsidRPr="00C17EA1">
              <w:t xml:space="preserve"> тыс. рублей, </w:t>
            </w:r>
            <w:r w:rsidRPr="00C17EA1">
              <w:br/>
              <w:t xml:space="preserve">2023 год - 1 542 603,1 тыс. рублей, </w:t>
            </w:r>
            <w:r w:rsidRPr="00C17EA1">
              <w:br/>
              <w:t>2024 год - 1 541 818,0 тыс. рублей</w:t>
            </w:r>
          </w:p>
        </w:tc>
      </w:tr>
      <w:tr w:rsidR="00C17EA1" w:rsidRPr="00B8012F" w:rsidTr="00113571">
        <w:trPr>
          <w:trHeight w:val="360"/>
        </w:trPr>
        <w:tc>
          <w:tcPr>
            <w:tcW w:w="3260" w:type="dxa"/>
            <w:vMerge/>
            <w:hideMark/>
          </w:tcPr>
          <w:p w:rsidR="00C17EA1" w:rsidRPr="00B8012F" w:rsidRDefault="00C17EA1" w:rsidP="002101B3"/>
        </w:tc>
        <w:tc>
          <w:tcPr>
            <w:tcW w:w="5540" w:type="dxa"/>
            <w:hideMark/>
          </w:tcPr>
          <w:p w:rsidR="00C17EA1" w:rsidRDefault="00C17EA1">
            <w:r w:rsidRPr="00B8012F">
              <w:t>внебюджетные источники</w:t>
            </w:r>
          </w:p>
          <w:p w:rsidR="00C17EA1" w:rsidRPr="00B8012F" w:rsidRDefault="00C17EA1">
            <w:r w:rsidRPr="00C17EA1">
              <w:t>0,0 тыс. рублей</w:t>
            </w:r>
          </w:p>
        </w:tc>
      </w:tr>
      <w:tr w:rsidR="00C17EA1" w:rsidRPr="00B8012F" w:rsidTr="00113571">
        <w:trPr>
          <w:trHeight w:val="1753"/>
        </w:trPr>
        <w:tc>
          <w:tcPr>
            <w:tcW w:w="3260" w:type="dxa"/>
            <w:vMerge/>
            <w:hideMark/>
          </w:tcPr>
          <w:p w:rsidR="00C17EA1" w:rsidRPr="00B8012F" w:rsidRDefault="00C17EA1"/>
        </w:tc>
        <w:tc>
          <w:tcPr>
            <w:tcW w:w="5540" w:type="dxa"/>
            <w:hideMark/>
          </w:tcPr>
          <w:p w:rsidR="00C17EA1" w:rsidRDefault="00C17EA1">
            <w:r w:rsidRPr="00C17EA1">
              <w:t>в том числе:</w:t>
            </w:r>
          </w:p>
          <w:p w:rsidR="00C17EA1" w:rsidRPr="00B8012F" w:rsidRDefault="00C17EA1">
            <w:r w:rsidRPr="00B8012F">
              <w:t xml:space="preserve">2019 год - 0,0 тыс. рублей, </w:t>
            </w:r>
            <w:r w:rsidRPr="00B8012F">
              <w:br/>
              <w:t xml:space="preserve">2020 год - 0,0 тыс. рублей, </w:t>
            </w:r>
            <w:r w:rsidRPr="00B8012F">
              <w:br/>
              <w:t xml:space="preserve">2021 год - 0,0 тыс. рублей, </w:t>
            </w:r>
            <w:r w:rsidRPr="00B8012F">
              <w:br/>
              <w:t xml:space="preserve">2022 год - 0,0 тыс. рублей, </w:t>
            </w:r>
            <w:r w:rsidRPr="00B8012F">
              <w:br/>
              <w:t xml:space="preserve">2023 год - 0,0 тыс. рублей, </w:t>
            </w:r>
            <w:r w:rsidRPr="00B8012F">
              <w:br/>
              <w:t>2024 год - 0,0 тыс. рублей</w:t>
            </w:r>
          </w:p>
        </w:tc>
      </w:tr>
      <w:tr w:rsidR="00C17EA1" w:rsidRPr="00B8012F" w:rsidTr="00113571">
        <w:trPr>
          <w:trHeight w:val="1219"/>
        </w:trPr>
        <w:tc>
          <w:tcPr>
            <w:tcW w:w="3260" w:type="dxa"/>
            <w:hideMark/>
          </w:tcPr>
          <w:p w:rsidR="00C17EA1" w:rsidRPr="00B8012F" w:rsidRDefault="00C17EA1" w:rsidP="00727939">
            <w:r w:rsidRPr="00B8012F">
              <w:t>Адрес размещения</w:t>
            </w:r>
            <w:r>
              <w:t xml:space="preserve"> </w:t>
            </w:r>
            <w:r w:rsidRPr="00C17EA1">
              <w:t>муниципальной</w:t>
            </w:r>
            <w:r>
              <w:t xml:space="preserve"> </w:t>
            </w:r>
            <w:r w:rsidRPr="00C17EA1">
              <w:t xml:space="preserve">программы </w:t>
            </w:r>
            <w:r w:rsidRPr="00B8012F">
              <w:t>сети Интернет</w:t>
            </w:r>
          </w:p>
        </w:tc>
        <w:tc>
          <w:tcPr>
            <w:tcW w:w="5540" w:type="dxa"/>
            <w:hideMark/>
          </w:tcPr>
          <w:p w:rsidR="00C17EA1" w:rsidRPr="00B8012F" w:rsidRDefault="00C17EA1" w:rsidP="00C17EA1">
            <w:r w:rsidRPr="00B8012F">
              <w:t> </w:t>
            </w:r>
            <w:hyperlink r:id="rId4" w:history="1">
              <w:r w:rsidR="00A16DE9">
                <w:rPr>
                  <w:rStyle w:val="a4"/>
                </w:rPr>
                <w:t>https://movp.ru/site/section?id=1436</w:t>
              </w:r>
            </w:hyperlink>
          </w:p>
        </w:tc>
      </w:tr>
    </w:tbl>
    <w:p w:rsidR="0046604A" w:rsidRDefault="0046604A"/>
    <w:sectPr w:rsidR="0046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D5"/>
    <w:rsid w:val="00113571"/>
    <w:rsid w:val="0046604A"/>
    <w:rsid w:val="00504714"/>
    <w:rsid w:val="005E07F6"/>
    <w:rsid w:val="006362B0"/>
    <w:rsid w:val="00727939"/>
    <w:rsid w:val="00761ED5"/>
    <w:rsid w:val="00A16DE9"/>
    <w:rsid w:val="00B8012F"/>
    <w:rsid w:val="00C17EA1"/>
    <w:rsid w:val="00F528E5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7792D-0048-49F2-9167-AECC70BA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16D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vp.ru/site/section?id=1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Осокина Наталья Александровна</cp:lastModifiedBy>
  <cp:revision>9</cp:revision>
  <dcterms:created xsi:type="dcterms:W3CDTF">2022-02-11T05:55:00Z</dcterms:created>
  <dcterms:modified xsi:type="dcterms:W3CDTF">2022-02-15T09:04:00Z</dcterms:modified>
</cp:coreProperties>
</file>