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497399" w:rsidRPr="00497399" w:rsidTr="0049714B">
        <w:trPr>
          <w:trHeight w:val="524"/>
        </w:trPr>
        <w:tc>
          <w:tcPr>
            <w:tcW w:w="9460" w:type="dxa"/>
            <w:gridSpan w:val="5"/>
          </w:tcPr>
          <w:p w:rsidR="00497399" w:rsidRPr="00497399" w:rsidRDefault="00497399" w:rsidP="00497399">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497399">
              <w:rPr>
                <w:rFonts w:ascii="Liberation Serif" w:eastAsia="Times New Roman" w:hAnsi="Liberation Serif" w:cs="Times New Roman"/>
                <w:b/>
                <w:sz w:val="28"/>
                <w:szCs w:val="28"/>
                <w:lang w:eastAsia="ru-RU"/>
              </w:rPr>
              <w:t xml:space="preserve">АДМИНИСТРАЦИЯ ГОРОДСКОГО ОКРУГА </w:t>
            </w:r>
          </w:p>
          <w:p w:rsidR="00497399" w:rsidRPr="00497399" w:rsidRDefault="00497399" w:rsidP="00497399">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497399">
              <w:rPr>
                <w:rFonts w:ascii="Liberation Serif" w:eastAsia="Times New Roman" w:hAnsi="Liberation Serif" w:cs="Times New Roman"/>
                <w:b/>
                <w:sz w:val="28"/>
                <w:szCs w:val="28"/>
                <w:lang w:eastAsia="ru-RU"/>
              </w:rPr>
              <w:t>Верхняя Пышма</w:t>
            </w:r>
          </w:p>
          <w:p w:rsidR="00497399" w:rsidRPr="00497399" w:rsidRDefault="00497399" w:rsidP="00497399">
            <w:pPr>
              <w:spacing w:after="0" w:line="240" w:lineRule="auto"/>
              <w:jc w:val="center"/>
              <w:rPr>
                <w:rFonts w:ascii="Liberation Serif" w:eastAsia="Times New Roman" w:hAnsi="Liberation Serif" w:cs="Times New Roman"/>
                <w:b/>
                <w:spacing w:val="40"/>
                <w:sz w:val="34"/>
                <w:szCs w:val="34"/>
                <w:lang w:eastAsia="ru-RU"/>
              </w:rPr>
            </w:pPr>
            <w:r w:rsidRPr="00497399">
              <w:rPr>
                <w:rFonts w:ascii="Liberation Serif" w:eastAsia="Times New Roman" w:hAnsi="Liberation Serif" w:cs="Times New Roman"/>
                <w:b/>
                <w:spacing w:val="40"/>
                <w:sz w:val="32"/>
                <w:szCs w:val="34"/>
                <w:lang w:eastAsia="ru-RU"/>
              </w:rPr>
              <w:t>ПОСТАНОВЛЕНИЕ</w:t>
            </w:r>
          </w:p>
          <w:p w:rsidR="00497399" w:rsidRPr="00497399" w:rsidRDefault="00497399" w:rsidP="00497399">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97399" w:rsidRPr="00497399" w:rsidTr="0049714B">
        <w:trPr>
          <w:trHeight w:val="524"/>
        </w:trPr>
        <w:tc>
          <w:tcPr>
            <w:tcW w:w="284" w:type="dxa"/>
            <w:vAlign w:val="bottom"/>
          </w:tcPr>
          <w:p w:rsidR="00497399" w:rsidRPr="00497399" w:rsidRDefault="00497399" w:rsidP="00497399">
            <w:pPr>
              <w:tabs>
                <w:tab w:val="left" w:leader="underscore" w:pos="9639"/>
              </w:tabs>
              <w:spacing w:after="0" w:line="240" w:lineRule="auto"/>
              <w:rPr>
                <w:rFonts w:ascii="Liberation Serif" w:eastAsia="Times New Roman" w:hAnsi="Liberation Serif" w:cs="Times New Roman"/>
                <w:sz w:val="24"/>
                <w:szCs w:val="28"/>
                <w:lang w:eastAsia="ru-RU"/>
              </w:rPr>
            </w:pPr>
            <w:r w:rsidRPr="00497399">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497399" w:rsidRPr="00497399" w:rsidRDefault="00497399" w:rsidP="0049739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97399">
              <w:rPr>
                <w:rFonts w:ascii="Liberation Serif" w:eastAsia="Times New Roman" w:hAnsi="Liberation Serif" w:cs="Times New Roman"/>
                <w:sz w:val="24"/>
                <w:szCs w:val="24"/>
                <w:lang w:eastAsia="ru-RU"/>
              </w:rPr>
              <w:fldChar w:fldCharType="begin"/>
            </w:r>
            <w:r w:rsidRPr="00497399">
              <w:rPr>
                <w:rFonts w:ascii="Liberation Serif" w:eastAsia="Times New Roman" w:hAnsi="Liberation Serif" w:cs="Times New Roman"/>
                <w:sz w:val="24"/>
                <w:szCs w:val="24"/>
                <w:lang w:eastAsia="ru-RU"/>
              </w:rPr>
              <w:instrText xml:space="preserve"> DOCPROPERTY  Рег.дата  \* MERGEFORMAT </w:instrText>
            </w:r>
            <w:r w:rsidRPr="00497399">
              <w:rPr>
                <w:rFonts w:ascii="Liberation Serif" w:eastAsia="Times New Roman" w:hAnsi="Liberation Serif" w:cs="Times New Roman"/>
                <w:sz w:val="24"/>
                <w:szCs w:val="24"/>
                <w:lang w:eastAsia="ru-RU"/>
              </w:rPr>
              <w:fldChar w:fldCharType="separate"/>
            </w:r>
            <w:r w:rsidRPr="00497399">
              <w:rPr>
                <w:rFonts w:ascii="Liberation Serif" w:eastAsia="Times New Roman" w:hAnsi="Liberation Serif" w:cs="Times New Roman"/>
                <w:sz w:val="24"/>
                <w:szCs w:val="24"/>
                <w:lang w:eastAsia="ru-RU"/>
              </w:rPr>
              <w:t xml:space="preserve"> </w:t>
            </w:r>
            <w:r w:rsidRPr="00497399">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497399" w:rsidRPr="00497399" w:rsidRDefault="00497399" w:rsidP="0049739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97399">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497399" w:rsidRPr="00497399" w:rsidRDefault="00497399" w:rsidP="0049739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97399">
              <w:rPr>
                <w:rFonts w:ascii="Liberation Serif" w:eastAsia="Times New Roman" w:hAnsi="Liberation Serif" w:cs="Times New Roman"/>
                <w:sz w:val="24"/>
                <w:szCs w:val="24"/>
                <w:lang w:eastAsia="ru-RU"/>
              </w:rPr>
              <w:fldChar w:fldCharType="begin"/>
            </w:r>
            <w:r w:rsidRPr="00497399">
              <w:rPr>
                <w:rFonts w:ascii="Liberation Serif" w:eastAsia="Times New Roman" w:hAnsi="Liberation Serif" w:cs="Times New Roman"/>
                <w:sz w:val="24"/>
                <w:szCs w:val="24"/>
                <w:lang w:eastAsia="ru-RU"/>
              </w:rPr>
              <w:instrText xml:space="preserve"> DOCPROPERTY  Рег.№  \* MERGEFORMAT </w:instrText>
            </w:r>
            <w:r w:rsidRPr="00497399">
              <w:rPr>
                <w:rFonts w:ascii="Liberation Serif" w:eastAsia="Times New Roman" w:hAnsi="Liberation Serif" w:cs="Times New Roman"/>
                <w:sz w:val="24"/>
                <w:szCs w:val="24"/>
                <w:lang w:eastAsia="ru-RU"/>
              </w:rPr>
              <w:fldChar w:fldCharType="separate"/>
            </w:r>
            <w:r w:rsidRPr="00497399">
              <w:rPr>
                <w:rFonts w:ascii="Liberation Serif" w:eastAsia="Times New Roman" w:hAnsi="Liberation Serif" w:cs="Times New Roman"/>
                <w:sz w:val="24"/>
                <w:szCs w:val="24"/>
                <w:lang w:eastAsia="ru-RU"/>
              </w:rPr>
              <w:t xml:space="preserve"> </w:t>
            </w:r>
            <w:r w:rsidRPr="00497399">
              <w:rPr>
                <w:rFonts w:ascii="Liberation Serif" w:eastAsia="Times New Roman" w:hAnsi="Liberation Serif" w:cs="Times New Roman"/>
                <w:sz w:val="24"/>
                <w:szCs w:val="24"/>
                <w:lang w:eastAsia="ru-RU"/>
              </w:rPr>
              <w:fldChar w:fldCharType="end"/>
            </w:r>
          </w:p>
        </w:tc>
        <w:tc>
          <w:tcPr>
            <w:tcW w:w="6341" w:type="dxa"/>
            <w:vAlign w:val="bottom"/>
          </w:tcPr>
          <w:p w:rsidR="00497399" w:rsidRPr="00497399" w:rsidRDefault="00497399" w:rsidP="00497399">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497399" w:rsidRPr="00497399" w:rsidTr="0049714B">
        <w:trPr>
          <w:trHeight w:val="130"/>
        </w:trPr>
        <w:tc>
          <w:tcPr>
            <w:tcW w:w="9460" w:type="dxa"/>
            <w:gridSpan w:val="5"/>
          </w:tcPr>
          <w:p w:rsidR="00497399" w:rsidRPr="00497399" w:rsidRDefault="00497399" w:rsidP="00497399">
            <w:pPr>
              <w:spacing w:after="0" w:line="240" w:lineRule="auto"/>
              <w:rPr>
                <w:rFonts w:ascii="Liberation Serif" w:eastAsia="Times New Roman" w:hAnsi="Liberation Serif" w:cs="Times New Roman"/>
                <w:sz w:val="20"/>
                <w:szCs w:val="28"/>
                <w:lang w:eastAsia="ru-RU"/>
              </w:rPr>
            </w:pPr>
          </w:p>
        </w:tc>
      </w:tr>
      <w:tr w:rsidR="00497399" w:rsidRPr="00497399" w:rsidTr="0049714B">
        <w:tc>
          <w:tcPr>
            <w:tcW w:w="9460" w:type="dxa"/>
            <w:gridSpan w:val="5"/>
          </w:tcPr>
          <w:p w:rsidR="00497399" w:rsidRPr="00497399" w:rsidRDefault="00497399" w:rsidP="00497399">
            <w:pPr>
              <w:spacing w:after="0" w:line="240" w:lineRule="auto"/>
              <w:rPr>
                <w:rFonts w:ascii="Liberation Serif" w:eastAsia="Times New Roman" w:hAnsi="Liberation Serif" w:cs="Times New Roman"/>
                <w:sz w:val="20"/>
                <w:szCs w:val="28"/>
                <w:lang w:val="en-US" w:eastAsia="ru-RU"/>
              </w:rPr>
            </w:pPr>
            <w:r w:rsidRPr="00497399">
              <w:rPr>
                <w:rFonts w:ascii="Liberation Serif" w:eastAsia="Times New Roman" w:hAnsi="Liberation Serif" w:cs="Times New Roman"/>
                <w:sz w:val="20"/>
                <w:szCs w:val="28"/>
                <w:lang w:eastAsia="ru-RU"/>
              </w:rPr>
              <w:t>г. Верхняя Пышма</w:t>
            </w:r>
          </w:p>
          <w:p w:rsidR="00497399" w:rsidRPr="00497399" w:rsidRDefault="00497399" w:rsidP="00497399">
            <w:pPr>
              <w:spacing w:after="0" w:line="240" w:lineRule="auto"/>
              <w:rPr>
                <w:rFonts w:ascii="Liberation Serif" w:eastAsia="Times New Roman" w:hAnsi="Liberation Serif" w:cs="Times New Roman"/>
                <w:sz w:val="28"/>
                <w:szCs w:val="28"/>
                <w:lang w:val="en-US" w:eastAsia="ru-RU"/>
              </w:rPr>
            </w:pPr>
          </w:p>
          <w:p w:rsidR="00497399" w:rsidRPr="00497399" w:rsidRDefault="00497399" w:rsidP="00497399">
            <w:pPr>
              <w:spacing w:after="0" w:line="240" w:lineRule="auto"/>
              <w:rPr>
                <w:rFonts w:ascii="Liberation Serif" w:eastAsia="Times New Roman" w:hAnsi="Liberation Serif" w:cs="Times New Roman"/>
                <w:sz w:val="28"/>
                <w:szCs w:val="28"/>
                <w:lang w:val="en-US" w:eastAsia="ru-RU"/>
              </w:rPr>
            </w:pPr>
          </w:p>
        </w:tc>
      </w:tr>
      <w:tr w:rsidR="00497399" w:rsidRPr="00497399" w:rsidTr="0049714B">
        <w:tc>
          <w:tcPr>
            <w:tcW w:w="9460" w:type="dxa"/>
            <w:gridSpan w:val="5"/>
          </w:tcPr>
          <w:p w:rsidR="00497399" w:rsidRPr="00497399" w:rsidRDefault="00497399" w:rsidP="00497399">
            <w:pPr>
              <w:spacing w:after="0" w:line="240" w:lineRule="auto"/>
              <w:jc w:val="center"/>
              <w:rPr>
                <w:rFonts w:ascii="Liberation Serif" w:eastAsia="Times New Roman" w:hAnsi="Liberation Serif" w:cs="Times New Roman"/>
                <w:b/>
                <w:i/>
                <w:sz w:val="26"/>
                <w:szCs w:val="26"/>
                <w:lang w:eastAsia="ru-RU"/>
              </w:rPr>
            </w:pPr>
            <w:r w:rsidRPr="00497399">
              <w:rPr>
                <w:rFonts w:ascii="Liberation Serif" w:eastAsia="Times New Roman" w:hAnsi="Liberation Serif" w:cs="Times New Roman"/>
                <w:b/>
                <w:i/>
                <w:sz w:val="26"/>
                <w:szCs w:val="26"/>
                <w:lang w:eastAsia="ru-RU"/>
              </w:rPr>
              <w:t>Об утверждении порядка осуществления Финансовым управлением администрации городского округа Верхняя Пышма казначейского сопровождения средств, предоставляемых участникам казначейского сопровождения, определенных в соответствии со статьей 242.26 Бюджетного кодекса Российской Федерации, из бюджета городского округа Верхняя Пышма</w:t>
            </w:r>
          </w:p>
        </w:tc>
      </w:tr>
      <w:tr w:rsidR="00497399" w:rsidRPr="00497399" w:rsidTr="0049714B">
        <w:tc>
          <w:tcPr>
            <w:tcW w:w="9460" w:type="dxa"/>
            <w:gridSpan w:val="5"/>
          </w:tcPr>
          <w:p w:rsidR="00497399" w:rsidRPr="00497399" w:rsidRDefault="00497399" w:rsidP="00497399">
            <w:pPr>
              <w:spacing w:after="0" w:line="240" w:lineRule="auto"/>
              <w:jc w:val="center"/>
              <w:rPr>
                <w:rFonts w:ascii="Liberation Serif" w:eastAsia="Times New Roman" w:hAnsi="Liberation Serif" w:cs="Times New Roman"/>
                <w:sz w:val="26"/>
                <w:szCs w:val="26"/>
                <w:lang w:eastAsia="ru-RU"/>
              </w:rPr>
            </w:pPr>
          </w:p>
          <w:p w:rsidR="00497399" w:rsidRPr="00497399" w:rsidRDefault="00497399" w:rsidP="00497399">
            <w:pPr>
              <w:spacing w:after="0" w:line="240" w:lineRule="auto"/>
              <w:jc w:val="center"/>
              <w:rPr>
                <w:rFonts w:ascii="Liberation Serif" w:eastAsia="Times New Roman" w:hAnsi="Liberation Serif" w:cs="Times New Roman"/>
                <w:sz w:val="26"/>
                <w:szCs w:val="26"/>
                <w:lang w:eastAsia="ru-RU"/>
              </w:rPr>
            </w:pPr>
          </w:p>
        </w:tc>
      </w:tr>
    </w:tbl>
    <w:p w:rsidR="00497399" w:rsidRPr="00497399" w:rsidRDefault="00497399" w:rsidP="00497399">
      <w:pPr>
        <w:widowControl w:val="0"/>
        <w:spacing w:after="0" w:line="240" w:lineRule="auto"/>
        <w:ind w:firstLine="709"/>
        <w:jc w:val="both"/>
        <w:rPr>
          <w:rFonts w:ascii="Liberation Serif" w:eastAsia="Times New Roman" w:hAnsi="Liberation Serif" w:cs="Times New Roman"/>
          <w:sz w:val="26"/>
          <w:szCs w:val="26"/>
          <w:lang w:eastAsia="ru-RU"/>
        </w:rPr>
      </w:pPr>
      <w:r w:rsidRPr="00497399">
        <w:rPr>
          <w:rFonts w:ascii="Liberation Serif" w:eastAsia="Times New Roman" w:hAnsi="Liberation Serif" w:cs="Times New Roman"/>
          <w:sz w:val="26"/>
          <w:szCs w:val="26"/>
          <w:lang w:eastAsia="ru-RU"/>
        </w:rPr>
        <w:t xml:space="preserve">В соответствии со статьей 242.23 Бюджетного кодекса Российской Федерации, постановлением Правительства Российской Федерации от 01.12.2021 № 2155 </w:t>
      </w:r>
      <w:r w:rsidRPr="00497399">
        <w:rPr>
          <w:rFonts w:ascii="Liberation Serif" w:eastAsia="Times New Roman" w:hAnsi="Liberation Serif" w:cs="Times New Roman"/>
          <w:sz w:val="26"/>
          <w:szCs w:val="26"/>
          <w:lang w:eastAsia="ru-RU"/>
        </w:rPr>
        <w:br/>
        <w:t xml:space="preserve">«Об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администрация городского округа Верхняя Пышма </w:t>
      </w:r>
    </w:p>
    <w:p w:rsidR="00497399" w:rsidRPr="00497399" w:rsidRDefault="00497399" w:rsidP="00497399">
      <w:pPr>
        <w:widowControl w:val="0"/>
        <w:spacing w:after="0" w:line="240" w:lineRule="auto"/>
        <w:jc w:val="both"/>
        <w:rPr>
          <w:rFonts w:ascii="Liberation Serif" w:eastAsia="Times New Roman" w:hAnsi="Liberation Serif" w:cs="Times New Roman"/>
          <w:sz w:val="26"/>
          <w:szCs w:val="26"/>
          <w:lang w:eastAsia="ru-RU"/>
        </w:rPr>
      </w:pPr>
      <w:r w:rsidRPr="00497399">
        <w:rPr>
          <w:rFonts w:ascii="Liberation Serif" w:eastAsia="Times New Roman" w:hAnsi="Liberation Serif" w:cs="Times New Roman"/>
          <w:b/>
          <w:sz w:val="26"/>
          <w:szCs w:val="26"/>
          <w:lang w:eastAsia="ru-RU"/>
        </w:rPr>
        <w:t>ПОСТАНОВЛЯЕТ:</w:t>
      </w:r>
    </w:p>
    <w:p w:rsidR="00497399" w:rsidRPr="00497399" w:rsidRDefault="00497399" w:rsidP="00497399">
      <w:pPr>
        <w:widowControl w:val="0"/>
        <w:spacing w:after="0" w:line="240" w:lineRule="auto"/>
        <w:ind w:firstLine="709"/>
        <w:jc w:val="both"/>
        <w:rPr>
          <w:rFonts w:ascii="Liberation Serif" w:eastAsia="Times New Roman" w:hAnsi="Liberation Serif" w:cs="Times New Roman"/>
          <w:sz w:val="26"/>
          <w:szCs w:val="26"/>
          <w:lang w:eastAsia="ru-RU"/>
        </w:rPr>
      </w:pPr>
      <w:r w:rsidRPr="00497399">
        <w:rPr>
          <w:rFonts w:ascii="Liberation Serif" w:eastAsia="Times New Roman" w:hAnsi="Liberation Serif" w:cs="Times New Roman"/>
          <w:sz w:val="26"/>
          <w:szCs w:val="26"/>
          <w:lang w:eastAsia="ru-RU"/>
        </w:rPr>
        <w:t xml:space="preserve">1. Утвердить Порядок осуществления Финансовым управлением администрации городского округа Верхняя Пышма казначейского сопровождения средств, предоставляемых участникам казначейского сопровождения, определенных в соответствии со статьей 242.26 Бюджетного кодекса Российской Федерации, </w:t>
      </w:r>
      <w:r w:rsidRPr="00497399">
        <w:rPr>
          <w:rFonts w:ascii="Liberation Serif" w:eastAsia="Times New Roman" w:hAnsi="Liberation Serif" w:cs="Times New Roman"/>
          <w:sz w:val="26"/>
          <w:szCs w:val="26"/>
          <w:lang w:eastAsia="ru-RU"/>
        </w:rPr>
        <w:br/>
        <w:t>из бюджета городского округа Верхняя Пышма (прилагается).</w:t>
      </w:r>
    </w:p>
    <w:p w:rsidR="00497399" w:rsidRPr="00497399" w:rsidRDefault="00497399" w:rsidP="00497399">
      <w:pPr>
        <w:widowControl w:val="0"/>
        <w:spacing w:after="0" w:line="240" w:lineRule="auto"/>
        <w:ind w:firstLine="709"/>
        <w:jc w:val="both"/>
        <w:rPr>
          <w:rFonts w:ascii="Liberation Serif" w:eastAsia="Times New Roman" w:hAnsi="Liberation Serif" w:cs="Times New Roman"/>
          <w:sz w:val="26"/>
          <w:szCs w:val="26"/>
          <w:lang w:eastAsia="ru-RU"/>
        </w:rPr>
      </w:pPr>
      <w:r w:rsidRPr="00497399">
        <w:rPr>
          <w:rFonts w:ascii="Liberation Serif" w:eastAsia="Times New Roman" w:hAnsi="Liberation Serif" w:cs="Times New Roman"/>
          <w:sz w:val="26"/>
          <w:szCs w:val="26"/>
          <w:lang w:eastAsia="ru-RU"/>
        </w:rPr>
        <w:t xml:space="preserve">2. Настоящее постановление вступает в силу с момента его официального опубликования, распространяет свое действие на правоотношения, возникшие </w:t>
      </w:r>
      <w:r w:rsidRPr="00497399">
        <w:rPr>
          <w:rFonts w:ascii="Liberation Serif" w:eastAsia="Times New Roman" w:hAnsi="Liberation Serif" w:cs="Times New Roman"/>
          <w:sz w:val="26"/>
          <w:szCs w:val="26"/>
          <w:lang w:eastAsia="ru-RU"/>
        </w:rPr>
        <w:br/>
        <w:t>с 1 января 2022 года.</w:t>
      </w:r>
    </w:p>
    <w:p w:rsidR="00497399" w:rsidRPr="00497399" w:rsidRDefault="00497399" w:rsidP="00497399">
      <w:pPr>
        <w:widowControl w:val="0"/>
        <w:spacing w:after="0" w:line="240" w:lineRule="auto"/>
        <w:ind w:firstLine="709"/>
        <w:jc w:val="both"/>
        <w:rPr>
          <w:rFonts w:ascii="Liberation Serif" w:eastAsia="Times New Roman" w:hAnsi="Liberation Serif" w:cs="Times New Roman"/>
          <w:sz w:val="26"/>
          <w:szCs w:val="26"/>
          <w:lang w:eastAsia="ru-RU"/>
        </w:rPr>
      </w:pPr>
      <w:r w:rsidRPr="00497399">
        <w:rPr>
          <w:rFonts w:ascii="Liberation Serif" w:eastAsia="Times New Roman" w:hAnsi="Liberation Serif" w:cs="Times New Roman"/>
          <w:sz w:val="26"/>
          <w:szCs w:val="26"/>
          <w:lang w:eastAsia="ru-RU"/>
        </w:rPr>
        <w:t xml:space="preserve">3. Опубликовать настоящее постановление в газете «Красное знамя», </w:t>
      </w:r>
      <w:r w:rsidRPr="00497399">
        <w:rPr>
          <w:rFonts w:ascii="Liberation Serif" w:eastAsia="Times New Roman" w:hAnsi="Liberation Serif" w:cs="Times New Roman"/>
          <w:sz w:val="26"/>
          <w:szCs w:val="26"/>
          <w:lang w:eastAsia="ru-RU"/>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497399" w:rsidRPr="00497399" w:rsidRDefault="00497399" w:rsidP="00497399">
      <w:pPr>
        <w:widowControl w:val="0"/>
        <w:spacing w:after="0" w:line="240" w:lineRule="auto"/>
        <w:ind w:firstLine="709"/>
        <w:jc w:val="both"/>
        <w:rPr>
          <w:rFonts w:ascii="Liberation Serif" w:eastAsia="Times New Roman" w:hAnsi="Liberation Serif" w:cs="Times New Roman"/>
          <w:sz w:val="26"/>
          <w:szCs w:val="26"/>
          <w:lang w:eastAsia="ru-RU"/>
        </w:rPr>
      </w:pPr>
      <w:r w:rsidRPr="00497399">
        <w:rPr>
          <w:rFonts w:ascii="Liberation Serif" w:eastAsia="Times New Roman" w:hAnsi="Liberation Serif" w:cs="Times New Roman"/>
          <w:sz w:val="26"/>
          <w:szCs w:val="26"/>
          <w:lang w:eastAsia="ru-RU"/>
        </w:rPr>
        <w:t xml:space="preserve">4. Контроль за исполнением настоящего постановления возложить </w:t>
      </w:r>
      <w:r w:rsidRPr="00497399">
        <w:rPr>
          <w:rFonts w:ascii="Liberation Serif" w:eastAsia="Times New Roman" w:hAnsi="Liberation Serif" w:cs="Times New Roman"/>
          <w:sz w:val="26"/>
          <w:szCs w:val="26"/>
          <w:lang w:eastAsia="ru-RU"/>
        </w:rPr>
        <w:br/>
        <w:t>на заместителя главы администрации по экономике и финансам городского округа Верхняя Пышма Ряжкину М.С.</w:t>
      </w:r>
    </w:p>
    <w:p w:rsidR="00497399" w:rsidRPr="00497399" w:rsidRDefault="00497399" w:rsidP="00497399">
      <w:pPr>
        <w:widowControl w:val="0"/>
        <w:spacing w:after="0" w:line="240" w:lineRule="auto"/>
        <w:ind w:firstLine="709"/>
        <w:jc w:val="both"/>
        <w:rPr>
          <w:rFonts w:ascii="Liberation Serif" w:eastAsia="Times New Roman" w:hAnsi="Liberation Serif" w:cs="Times New Roman"/>
          <w:sz w:val="28"/>
          <w:szCs w:val="28"/>
          <w:lang w:eastAsia="ru-RU"/>
        </w:rPr>
      </w:pPr>
    </w:p>
    <w:p w:rsidR="00497399" w:rsidRPr="00497399" w:rsidRDefault="00497399" w:rsidP="00497399">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497399" w:rsidRPr="00497399" w:rsidTr="0049714B">
        <w:tc>
          <w:tcPr>
            <w:tcW w:w="6237" w:type="dxa"/>
            <w:vAlign w:val="bottom"/>
          </w:tcPr>
          <w:p w:rsidR="00497399" w:rsidRPr="00497399" w:rsidRDefault="00497399" w:rsidP="00497399">
            <w:pPr>
              <w:spacing w:after="0" w:line="240" w:lineRule="auto"/>
              <w:rPr>
                <w:rFonts w:ascii="Liberation Serif" w:eastAsia="Times New Roman" w:hAnsi="Liberation Serif" w:cs="Times New Roman"/>
                <w:sz w:val="26"/>
                <w:szCs w:val="26"/>
                <w:lang w:eastAsia="ru-RU"/>
              </w:rPr>
            </w:pPr>
            <w:r w:rsidRPr="00497399">
              <w:rPr>
                <w:rFonts w:ascii="Liberation Serif" w:eastAsia="Times New Roman" w:hAnsi="Liberation Serif" w:cs="Times New Roman"/>
                <w:sz w:val="26"/>
                <w:szCs w:val="26"/>
                <w:lang w:eastAsia="ru-RU"/>
              </w:rPr>
              <w:t>Глава городского округа</w:t>
            </w:r>
          </w:p>
        </w:tc>
        <w:tc>
          <w:tcPr>
            <w:tcW w:w="3344" w:type="dxa"/>
            <w:vAlign w:val="bottom"/>
          </w:tcPr>
          <w:p w:rsidR="00497399" w:rsidRPr="00497399" w:rsidRDefault="00497399" w:rsidP="00497399">
            <w:pPr>
              <w:spacing w:after="0" w:line="240" w:lineRule="auto"/>
              <w:jc w:val="right"/>
              <w:rPr>
                <w:rFonts w:ascii="Liberation Serif" w:eastAsia="Times New Roman" w:hAnsi="Liberation Serif" w:cs="Times New Roman"/>
                <w:sz w:val="26"/>
                <w:szCs w:val="26"/>
                <w:lang w:eastAsia="ru-RU"/>
              </w:rPr>
            </w:pPr>
            <w:r w:rsidRPr="00497399">
              <w:rPr>
                <w:rFonts w:ascii="Liberation Serif" w:eastAsia="Times New Roman" w:hAnsi="Liberation Serif" w:cs="Times New Roman"/>
                <w:sz w:val="26"/>
                <w:szCs w:val="26"/>
                <w:lang w:eastAsia="ru-RU"/>
              </w:rPr>
              <w:t>И.В. Соломин</w:t>
            </w:r>
          </w:p>
        </w:tc>
      </w:tr>
    </w:tbl>
    <w:p w:rsidR="00497399" w:rsidRPr="00497399" w:rsidRDefault="00497399" w:rsidP="00497399">
      <w:pPr>
        <w:snapToGrid w:val="0"/>
        <w:spacing w:after="0" w:line="240" w:lineRule="auto"/>
        <w:rPr>
          <w:rFonts w:ascii="Liberation Serif" w:eastAsia="Times New Roman" w:hAnsi="Liberation Serif" w:cs="Times New Roman"/>
          <w:sz w:val="20"/>
          <w:szCs w:val="20"/>
          <w:lang w:eastAsia="ru-RU"/>
        </w:rPr>
      </w:pPr>
    </w:p>
    <w:p w:rsidR="00E4264B" w:rsidRDefault="00E4264B"/>
    <w:p w:rsidR="00AB2959" w:rsidRDefault="00AB2959"/>
    <w:p w:rsidR="00AB2959" w:rsidRDefault="00AB2959"/>
    <w:p w:rsidR="00AB2959" w:rsidRPr="00AB2959" w:rsidRDefault="00AB2959" w:rsidP="00AB2959">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B2959" w:rsidRPr="00C5591E" w:rsidRDefault="00AB2959" w:rsidP="00AB2959">
                            <w:pPr>
                              <w:spacing w:after="0" w:line="240" w:lineRule="auto"/>
                              <w:rPr>
                                <w:rFonts w:ascii="Liberation Serif" w:eastAsia="Times New Roman" w:hAnsi="Liberation Serif"/>
                                <w:sz w:val="28"/>
                                <w:szCs w:val="28"/>
                                <w:lang w:eastAsia="ru-RU"/>
                              </w:rPr>
                            </w:pPr>
                            <w:permStart w:id="1206345936" w:edGrp="everyone"/>
                            <w:r>
                              <w:rPr>
                                <w:rFonts w:ascii="Liberation Serif" w:eastAsia="Times New Roman" w:hAnsi="Liberation Serif"/>
                                <w:sz w:val="28"/>
                                <w:szCs w:val="28"/>
                                <w:lang w:eastAsia="ru-RU"/>
                              </w:rPr>
                              <w:t>УТВЕРЖДЕН</w:t>
                            </w:r>
                          </w:p>
                          <w:p w:rsidR="00AB2959" w:rsidRPr="003C063F" w:rsidRDefault="00AB2959" w:rsidP="00AB2959">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AB2959" w:rsidRPr="003C063F" w:rsidRDefault="00AB2959" w:rsidP="00AB295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B2959" w:rsidRPr="003C063F" w:rsidTr="004A7329">
                              <w:tc>
                                <w:tcPr>
                                  <w:tcW w:w="534" w:type="dxa"/>
                                  <w:shd w:val="clear" w:color="auto" w:fill="auto"/>
                                </w:tcPr>
                                <w:permEnd w:id="1206345936"/>
                                <w:p w:rsidR="00AB2959" w:rsidRPr="003C063F" w:rsidRDefault="00AB2959"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306145983" w:edGrp="everyone"/>
                              <w:tc>
                                <w:tcPr>
                                  <w:tcW w:w="2126" w:type="dxa"/>
                                  <w:tcBorders>
                                    <w:bottom w:val="single" w:sz="4" w:space="0" w:color="auto"/>
                                  </w:tcBorders>
                                  <w:shd w:val="clear" w:color="auto" w:fill="auto"/>
                                </w:tcPr>
                                <w:p w:rsidR="00AB2959" w:rsidRPr="003C063F" w:rsidRDefault="00AB2959"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1306145983"/>
                                </w:p>
                              </w:tc>
                              <w:tc>
                                <w:tcPr>
                                  <w:tcW w:w="484" w:type="dxa"/>
                                  <w:shd w:val="clear" w:color="auto" w:fill="auto"/>
                                </w:tcPr>
                                <w:p w:rsidR="00AB2959" w:rsidRPr="003C063F" w:rsidRDefault="00AB2959"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763786001" w:edGrp="everyone"/>
                              <w:tc>
                                <w:tcPr>
                                  <w:tcW w:w="1159" w:type="dxa"/>
                                  <w:tcBorders>
                                    <w:bottom w:val="single" w:sz="4" w:space="0" w:color="auto"/>
                                  </w:tcBorders>
                                  <w:shd w:val="clear" w:color="auto" w:fill="auto"/>
                                </w:tcPr>
                                <w:p w:rsidR="00AB2959" w:rsidRPr="003C063F" w:rsidRDefault="00AB2959"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63786001"/>
                                </w:p>
                              </w:tc>
                            </w:tr>
                          </w:tbl>
                          <w:p w:rsidR="00AB2959" w:rsidRPr="003C063F" w:rsidRDefault="00AB2959" w:rsidP="00AB2959">
                            <w:pPr>
                              <w:spacing w:after="0" w:line="240" w:lineRule="auto"/>
                              <w:rPr>
                                <w:rFonts w:ascii="Liberation Serif" w:eastAsia="Times New Roman" w:hAnsi="Liberation Serif"/>
                                <w:sz w:val="28"/>
                                <w:szCs w:val="28"/>
                                <w:lang w:eastAsia="ru-RU"/>
                              </w:rPr>
                            </w:pPr>
                          </w:p>
                          <w:p w:rsidR="00AB2959" w:rsidRPr="003C063F" w:rsidRDefault="00AB2959" w:rsidP="00AB2959">
                            <w:pPr>
                              <w:spacing w:after="0" w:line="240" w:lineRule="auto"/>
                              <w:rPr>
                                <w:rFonts w:ascii="Liberation Serif" w:eastAsia="Times New Roman" w:hAnsi="Liberation Serif"/>
                                <w:sz w:val="28"/>
                                <w:szCs w:val="28"/>
                                <w:lang w:eastAsia="ru-RU"/>
                              </w:rPr>
                            </w:pPr>
                          </w:p>
                          <w:p w:rsidR="00AB2959" w:rsidRPr="003C063F" w:rsidRDefault="00AB2959" w:rsidP="00AB2959">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AB2959" w:rsidRPr="00C5591E" w:rsidRDefault="00AB2959" w:rsidP="00AB2959">
                      <w:pPr>
                        <w:spacing w:after="0" w:line="240" w:lineRule="auto"/>
                        <w:rPr>
                          <w:rFonts w:ascii="Liberation Serif" w:eastAsia="Times New Roman" w:hAnsi="Liberation Serif"/>
                          <w:sz w:val="28"/>
                          <w:szCs w:val="28"/>
                          <w:lang w:eastAsia="ru-RU"/>
                        </w:rPr>
                      </w:pPr>
                      <w:permStart w:id="1206345936" w:edGrp="everyone"/>
                      <w:r>
                        <w:rPr>
                          <w:rFonts w:ascii="Liberation Serif" w:eastAsia="Times New Roman" w:hAnsi="Liberation Serif"/>
                          <w:sz w:val="28"/>
                          <w:szCs w:val="28"/>
                          <w:lang w:eastAsia="ru-RU"/>
                        </w:rPr>
                        <w:t>УТВЕРЖДЕН</w:t>
                      </w:r>
                    </w:p>
                    <w:p w:rsidR="00AB2959" w:rsidRPr="003C063F" w:rsidRDefault="00AB2959" w:rsidP="00AB2959">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AB2959" w:rsidRPr="003C063F" w:rsidRDefault="00AB2959" w:rsidP="00AB295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B2959" w:rsidRPr="003C063F" w:rsidTr="004A7329">
                        <w:tc>
                          <w:tcPr>
                            <w:tcW w:w="534" w:type="dxa"/>
                            <w:shd w:val="clear" w:color="auto" w:fill="auto"/>
                          </w:tcPr>
                          <w:permEnd w:id="1206345936"/>
                          <w:p w:rsidR="00AB2959" w:rsidRPr="003C063F" w:rsidRDefault="00AB2959"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306145983" w:edGrp="everyone"/>
                        <w:tc>
                          <w:tcPr>
                            <w:tcW w:w="2126" w:type="dxa"/>
                            <w:tcBorders>
                              <w:bottom w:val="single" w:sz="4" w:space="0" w:color="auto"/>
                            </w:tcBorders>
                            <w:shd w:val="clear" w:color="auto" w:fill="auto"/>
                          </w:tcPr>
                          <w:p w:rsidR="00AB2959" w:rsidRPr="003C063F" w:rsidRDefault="00AB2959"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1306145983"/>
                          </w:p>
                        </w:tc>
                        <w:tc>
                          <w:tcPr>
                            <w:tcW w:w="484" w:type="dxa"/>
                            <w:shd w:val="clear" w:color="auto" w:fill="auto"/>
                          </w:tcPr>
                          <w:p w:rsidR="00AB2959" w:rsidRPr="003C063F" w:rsidRDefault="00AB2959"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763786001" w:edGrp="everyone"/>
                        <w:tc>
                          <w:tcPr>
                            <w:tcW w:w="1159" w:type="dxa"/>
                            <w:tcBorders>
                              <w:bottom w:val="single" w:sz="4" w:space="0" w:color="auto"/>
                            </w:tcBorders>
                            <w:shd w:val="clear" w:color="auto" w:fill="auto"/>
                          </w:tcPr>
                          <w:p w:rsidR="00AB2959" w:rsidRPr="003C063F" w:rsidRDefault="00AB2959"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63786001"/>
                          </w:p>
                        </w:tc>
                      </w:tr>
                    </w:tbl>
                    <w:p w:rsidR="00AB2959" w:rsidRPr="003C063F" w:rsidRDefault="00AB2959" w:rsidP="00AB2959">
                      <w:pPr>
                        <w:spacing w:after="0" w:line="240" w:lineRule="auto"/>
                        <w:rPr>
                          <w:rFonts w:ascii="Liberation Serif" w:eastAsia="Times New Roman" w:hAnsi="Liberation Serif"/>
                          <w:sz w:val="28"/>
                          <w:szCs w:val="28"/>
                          <w:lang w:eastAsia="ru-RU"/>
                        </w:rPr>
                      </w:pPr>
                    </w:p>
                    <w:p w:rsidR="00AB2959" w:rsidRPr="003C063F" w:rsidRDefault="00AB2959" w:rsidP="00AB2959">
                      <w:pPr>
                        <w:spacing w:after="0" w:line="240" w:lineRule="auto"/>
                        <w:rPr>
                          <w:rFonts w:ascii="Liberation Serif" w:eastAsia="Times New Roman" w:hAnsi="Liberation Serif"/>
                          <w:sz w:val="28"/>
                          <w:szCs w:val="28"/>
                          <w:lang w:eastAsia="ru-RU"/>
                        </w:rPr>
                      </w:pPr>
                    </w:p>
                    <w:p w:rsidR="00AB2959" w:rsidRPr="003C063F" w:rsidRDefault="00AB2959" w:rsidP="00AB2959">
                      <w:pPr>
                        <w:rPr>
                          <w:rFonts w:ascii="Liberation Serif" w:hAnsi="Liberation Serif"/>
                        </w:rPr>
                      </w:pPr>
                    </w:p>
                  </w:txbxContent>
                </v:textbox>
              </v:shape>
            </w:pict>
          </mc:Fallback>
        </mc:AlternateContent>
      </w:r>
    </w:p>
    <w:p w:rsidR="00AB2959" w:rsidRPr="00AB2959" w:rsidRDefault="00AB2959" w:rsidP="00AB2959">
      <w:pPr>
        <w:spacing w:after="0" w:line="240" w:lineRule="auto"/>
        <w:jc w:val="center"/>
        <w:rPr>
          <w:rFonts w:ascii="Liberation Serif" w:eastAsia="Times New Roman" w:hAnsi="Liberation Serif" w:cs="Times New Roman"/>
          <w:sz w:val="28"/>
          <w:szCs w:val="28"/>
          <w:lang w:eastAsia="ru-RU"/>
        </w:rPr>
      </w:pPr>
    </w:p>
    <w:p w:rsidR="00AB2959" w:rsidRPr="00AB2959" w:rsidRDefault="00AB2959" w:rsidP="00AB2959">
      <w:pPr>
        <w:spacing w:after="0" w:line="240" w:lineRule="auto"/>
        <w:jc w:val="center"/>
        <w:rPr>
          <w:rFonts w:ascii="Liberation Serif" w:eastAsia="Times New Roman" w:hAnsi="Liberation Serif" w:cs="Times New Roman"/>
          <w:sz w:val="28"/>
          <w:szCs w:val="28"/>
          <w:lang w:eastAsia="ru-RU"/>
        </w:rPr>
      </w:pPr>
    </w:p>
    <w:p w:rsidR="00AB2959" w:rsidRPr="00AB2959" w:rsidRDefault="00AB2959" w:rsidP="00AB2959">
      <w:pPr>
        <w:spacing w:after="0" w:line="240" w:lineRule="auto"/>
        <w:jc w:val="center"/>
        <w:rPr>
          <w:rFonts w:ascii="Liberation Serif" w:eastAsia="Times New Roman" w:hAnsi="Liberation Serif" w:cs="Times New Roman"/>
          <w:sz w:val="28"/>
          <w:szCs w:val="28"/>
          <w:lang w:eastAsia="ru-RU"/>
        </w:rPr>
      </w:pPr>
    </w:p>
    <w:p w:rsidR="00AB2959" w:rsidRPr="00AB2959" w:rsidRDefault="00AB2959" w:rsidP="00AB2959">
      <w:pPr>
        <w:spacing w:after="0" w:line="240" w:lineRule="auto"/>
        <w:jc w:val="center"/>
        <w:rPr>
          <w:rFonts w:ascii="Liberation Serif" w:eastAsia="Times New Roman" w:hAnsi="Liberation Serif" w:cs="Times New Roman"/>
          <w:sz w:val="28"/>
          <w:szCs w:val="28"/>
          <w:lang w:eastAsia="ru-RU"/>
        </w:rPr>
      </w:pPr>
    </w:p>
    <w:p w:rsidR="00AB2959" w:rsidRPr="00AB2959" w:rsidRDefault="00AB2959" w:rsidP="00AB2959">
      <w:pPr>
        <w:spacing w:after="0" w:line="240" w:lineRule="auto"/>
        <w:jc w:val="center"/>
        <w:rPr>
          <w:rFonts w:ascii="Liberation Serif" w:eastAsia="Times New Roman" w:hAnsi="Liberation Serif" w:cs="Times New Roman"/>
          <w:b/>
          <w:sz w:val="28"/>
          <w:szCs w:val="28"/>
          <w:lang w:eastAsia="ru-RU"/>
        </w:rPr>
      </w:pPr>
      <w:r w:rsidRPr="00AB2959">
        <w:rPr>
          <w:rFonts w:ascii="Liberation Serif" w:eastAsia="Times New Roman" w:hAnsi="Liberation Serif" w:cs="Times New Roman"/>
          <w:b/>
          <w:sz w:val="28"/>
          <w:szCs w:val="28"/>
          <w:lang w:eastAsia="ru-RU"/>
        </w:rPr>
        <w:t>ПОРЯДОК</w:t>
      </w:r>
    </w:p>
    <w:p w:rsidR="00AB2959" w:rsidRPr="00AB2959" w:rsidRDefault="00AB2959" w:rsidP="00AB2959">
      <w:pPr>
        <w:spacing w:after="0" w:line="240" w:lineRule="auto"/>
        <w:jc w:val="center"/>
        <w:rPr>
          <w:rFonts w:ascii="Liberation Serif" w:eastAsia="Times New Roman" w:hAnsi="Liberation Serif" w:cs="Times New Roman"/>
          <w:b/>
          <w:sz w:val="28"/>
          <w:szCs w:val="28"/>
          <w:lang w:eastAsia="ru-RU"/>
        </w:rPr>
      </w:pPr>
      <w:r w:rsidRPr="00AB2959">
        <w:rPr>
          <w:rFonts w:ascii="Liberation Serif" w:eastAsia="Times New Roman" w:hAnsi="Liberation Serif" w:cs="Times New Roman"/>
          <w:b/>
          <w:sz w:val="28"/>
          <w:szCs w:val="28"/>
          <w:lang w:eastAsia="ru-RU"/>
        </w:rPr>
        <w:t>осуществления Финансовым управлением городского округа Верхняя Пышма казначейского сопровождения средств, предоставляемых участникам казначейского сопровождения, определенных в соответствии со статьей 242.26 Бюджетного кодекса Российской Федерации, из бюджета городского округа Верхняя Пышма</w:t>
      </w:r>
    </w:p>
    <w:p w:rsidR="00AB2959" w:rsidRPr="00AB2959" w:rsidRDefault="00AB2959" w:rsidP="00AB2959">
      <w:pPr>
        <w:spacing w:after="0" w:line="240" w:lineRule="auto"/>
        <w:jc w:val="center"/>
        <w:rPr>
          <w:rFonts w:ascii="Liberation Serif" w:eastAsia="Times New Roman" w:hAnsi="Liberation Serif" w:cs="Times New Roman"/>
          <w:b/>
          <w:sz w:val="28"/>
          <w:szCs w:val="28"/>
          <w:lang w:eastAsia="ru-RU"/>
        </w:rPr>
      </w:pP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1. Настоящий порядок устанавливает правила осуществления Финансовым управлением администрации городского округа Верхняя Пышма (далее – Финансовое управление) казначейского сопровождения средств, предоставляемых участникам казначейского сопровождения, определенных в соответствии со статьей 242.26 Бюджетного кодекса Российской Федерации, из бюджета городского округа Верхняя Пышма (далее – целевые средства).</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2. Операции с целевыми средствами осуществляются на казначейских счетах, предусмотренных подпунктом 6.1 пункта 1 статьи 242.14 Бюджетного кодекса Российской Федерации (далее – Бюджетный кодекс), открытых Финансовым управлением для осуществления и отражения операций с денежными средствами участников казначейского сопровождения.</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 xml:space="preserve">3. Операции по зачислению и списанию целевых средств </w:t>
      </w:r>
      <w:r w:rsidRPr="00AB2959">
        <w:rPr>
          <w:rFonts w:ascii="Liberation Serif" w:eastAsia="Times New Roman" w:hAnsi="Liberation Serif" w:cs="Times New Roman"/>
          <w:sz w:val="28"/>
          <w:szCs w:val="28"/>
          <w:lang w:eastAsia="ru-RU"/>
        </w:rPr>
        <w:br/>
        <w:t>на казначейских счетах, указанных в пункте 2 настоящего порядка, отражаются в соответствии с порядком открытия и ведения лицевых счетов участников казначейского сопровождения Финансовым управлением городского округа Верхняя Пышма, устанавливаемым Финансовым управлением (далее – порядок открытия и ведения лицевых счетов участников), на лицевом счете, предназначенном для осуществления и отражения операций с денежными средствами участников казначейского сопровождения (далее – лицевой счет).</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Лицевые счета открываются в Финансовом управлении участникам казначейского сопровождения, получающим целевые средства, в соответствии с порядком открытия и ведения лицевых счетов участников в случаях, установленных Решением Думы городского округа Верхняя Пышма о бюджете на очередной финансовый год и плановый период.</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4. Казначейское сопровождение осуществляется в отношении целевых средств, предоставляемых с целью исполнения обязательств по заключенным с участниками казначейского сопровождения:</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1) муниципальным контрактам, контрактам (договорам) о поставке товаров, выполнении работ, оказании услуг, заключенными муниципальными заказчиками городского округа Верхняя Пышма, бюджетными и (или) автономными учреждениями городского округа Верхняя Пышма (далее – муниципальный контракт);</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lastRenderedPageBreak/>
        <w:t xml:space="preserve">2) соглашениям о предоставлении субсидий, соглашениям </w:t>
      </w:r>
      <w:r w:rsidRPr="00AB2959">
        <w:rPr>
          <w:rFonts w:ascii="Liberation Serif" w:eastAsia="Times New Roman" w:hAnsi="Liberation Serif" w:cs="Times New Roman"/>
          <w:sz w:val="28"/>
          <w:szCs w:val="28"/>
          <w:lang w:eastAsia="ru-RU"/>
        </w:rPr>
        <w:br/>
        <w:t xml:space="preserve">о предоставлении бюджетных инвестиций в соответствии со статьей 80 Бюджетного кодекса (далее – соглашение),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указанные субсидии </w:t>
      </w:r>
      <w:r w:rsidRPr="00AB2959">
        <w:rPr>
          <w:rFonts w:ascii="Liberation Serif" w:eastAsia="Times New Roman" w:hAnsi="Liberation Serif" w:cs="Times New Roman"/>
          <w:sz w:val="28"/>
          <w:szCs w:val="28"/>
          <w:lang w:eastAsia="ru-RU"/>
        </w:rPr>
        <w:br/>
        <w:t>и бюджетные инвестиции (далее – взнос (вклад));</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3) контрактам (договорам) о поставке товаров, выполнении работ, оказании услуг, источником финансового обеспечения исполнения которых являются средства, указанные в подпунктах 1 и 2 настоящего пункта (далее – контракт (договор)).</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5. Операции по списанию целевых средств участников казначейского сопровождения, отраженных на лицевых счетах, проводятся после осуществления Финансовым управлением санкционирования расходов в соответствии с порядком санкционирования расходов участников казначейского сопровождения Финансового управления городского округа Верхняя Пышма, устанавливаемым Финансовым управлением (далее – порядок санкционирования целевых средств), и проверки представленных документов, установленных порядком санкционирования целевых средств, подтверждающих возникновение денежных обязательств участников казначейского сопровождения (далее – документы-основания).</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Санкционирование расходов при казначейском сопровождении целевых средств осуществляется в соответствии со сведениями об операциях с целевыми средствами, представляемыми участниками казначейского сопровождения в Финансовое управление по форме, утвержденной порядком санкционирования целевых средств.</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6. В случаях и порядке, установленных Правительством Российской Федерации, Финансовым управлением осуществляется расширенное казначейское сопровождение целевых средств.</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7. При казначейском сопровождении целевых средств в муниципальные контракты, соглашения, контракты (договоры) включаются следующие условия:</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1) запрет на перечисление целевых средств в случаях, указанных в пункте 8 настоящего порядка;</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2) открытие участником казначейского сопровождения целевых средств лицевого счета в Финансовом управлении в целях осуществления операций с целевыми средствами в соответствии с настоящим порядком;</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3) представление в Финансовое управление документов, установленных порядком санкционирования целевых средств;</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 xml:space="preserve">4) указание в муниципальных контрактах, соглашениях, контрактах (договорах), распоряжениях о совершении казначейских платежей (далее - распоряжение) и расчетных документах (за исключением распоряжений и расчетных документов, представляемых в связи с исполнением муниципальных контрактов, соглашений, контрактов (договоров), содержащих сведения, составляющие государственную тайну или относимые к охраняемой </w:t>
      </w:r>
      <w:r w:rsidRPr="00AB2959">
        <w:rPr>
          <w:rFonts w:ascii="Liberation Serif" w:eastAsia="Times New Roman" w:hAnsi="Liberation Serif" w:cs="Times New Roman"/>
          <w:sz w:val="28"/>
          <w:szCs w:val="28"/>
          <w:lang w:eastAsia="ru-RU"/>
        </w:rPr>
        <w:lastRenderedPageBreak/>
        <w:t>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идентификатора муниципального контракта, соглашения, контракта (договора) в соответствии с порядком формирования идентификатора муниципального контракта, соглашения при казначейском сопровождении средств, устанавливаемым Министерством финансов Российской Федерации;</w:t>
      </w:r>
    </w:p>
    <w:p w:rsidR="00AB2959" w:rsidRPr="00AB2959" w:rsidRDefault="00AB2959" w:rsidP="00AB2959">
      <w:pPr>
        <w:autoSpaceDE w:val="0"/>
        <w:autoSpaceDN w:val="0"/>
        <w:adjustRightInd w:val="0"/>
        <w:spacing w:after="0" w:line="240" w:lineRule="auto"/>
        <w:ind w:firstLine="540"/>
        <w:jc w:val="both"/>
        <w:rPr>
          <w:rFonts w:ascii="Liberation Serif" w:eastAsia="Calibri" w:hAnsi="Liberation Serif" w:cs="Liberation Serif"/>
          <w:sz w:val="28"/>
          <w:szCs w:val="28"/>
          <w:lang w:eastAsia="ru-RU"/>
        </w:rPr>
      </w:pPr>
      <w:r w:rsidRPr="00AB2959">
        <w:rPr>
          <w:rFonts w:ascii="Liberation Serif" w:eastAsia="Calibri" w:hAnsi="Liberation Serif" w:cs="Liberation Serif"/>
          <w:sz w:val="28"/>
          <w:szCs w:val="28"/>
          <w:lang w:eastAsia="ru-RU"/>
        </w:rPr>
        <w:t>5) ведение раздельного учета результатов финансово-хозяйственной деятельности по каждому муниципальному контракту, соглашению, контракту (договору) в соответствии с порядком, определенным Правительством Российской Федерации.</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8. Устанавливается запрет на перечисление целевых средств с лицевого счета:</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 xml:space="preserve">1) в качестве взноса в уставный (складочный) капитал другого юридического лица (дочернего общества юридического лица), вклада </w:t>
      </w:r>
      <w:r w:rsidRPr="00AB2959">
        <w:rPr>
          <w:rFonts w:ascii="Liberation Serif" w:eastAsia="Times New Roman" w:hAnsi="Liberation Serif" w:cs="Times New Roman"/>
          <w:sz w:val="28"/>
          <w:szCs w:val="28"/>
          <w:lang w:eastAsia="ru-RU"/>
        </w:rPr>
        <w:br/>
        <w:t>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кредитной организации (далее - банк);</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2) в целях размещения средств на депозитах, а также в иные финансовые инструменты, за исключением случаев, установленных действующим законодательством;</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3) на счета, открытые в банке участнику казначейского сопровождения целевых средств, за исключением:</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оплаты обязательств участника казначейского сопровождения целевых средств в соответствии с валютным законодательством Российской Федерации;</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оплаты обязательств участника казначейского сопровождения целевых средств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участник казначейского сопровождения не привлекает для поставки товаров, выполнения работ, оказания услуг иных юридических лиц, а также при условии представления документов-оснований и (или) иных документов, предусмотренных муниципальными контрактами, соглашениями, контрактами (договорами) или нормативными правовыми актами (правовыми актами), регулирующими порядок предоставления целевых средств;</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 xml:space="preserve">возмещения произведенных участником казначейского сопровождения целевых средств расходов (части расходов) при условии представления </w:t>
      </w:r>
      <w:r w:rsidRPr="00AB2959">
        <w:rPr>
          <w:rFonts w:ascii="Liberation Serif" w:eastAsia="Times New Roman" w:hAnsi="Liberation Serif" w:cs="Times New Roman"/>
          <w:sz w:val="28"/>
          <w:szCs w:val="28"/>
          <w:lang w:eastAsia="ru-RU"/>
        </w:rPr>
        <w:lastRenderedPageBreak/>
        <w:t>документов в соответствии с абзацем четвертым настоящего подпункта, а также копий платежных поручений, реестров платежных поручений и иных документов, подтверждающих оплату произведенных участником казначейского сопровождения целевых средств расходов (части расходов), а также муниципальных контрактов, соглашений, контрактов (договоров) или нормативных правовых актов (правовых актов), регулирующих порядок предоставления целевых средств, если условиями муниципального контракта, соглашения, контракта (договора) предусмотрено возмещение произведенных участником казначейского сопровождения целевых средств расходов (части расходов);</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 xml:space="preserve">4) на счета, открытые в банках юридическим лицам, заключившим </w:t>
      </w:r>
      <w:r w:rsidRPr="00AB2959">
        <w:rPr>
          <w:rFonts w:ascii="Liberation Serif" w:eastAsia="Times New Roman" w:hAnsi="Liberation Serif" w:cs="Times New Roman"/>
          <w:sz w:val="28"/>
          <w:szCs w:val="28"/>
          <w:lang w:eastAsia="ru-RU"/>
        </w:rPr>
        <w:br/>
        <w:t xml:space="preserve">с участником казначейского сопровождения целевых средств соглашения, контракты (договоры), за исключением соглашений,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w:t>
      </w:r>
      <w:r w:rsidRPr="00AB2959">
        <w:rPr>
          <w:rFonts w:ascii="Liberation Serif" w:eastAsia="Times New Roman" w:hAnsi="Liberation Serif" w:cs="Times New Roman"/>
          <w:sz w:val="28"/>
          <w:szCs w:val="28"/>
          <w:lang w:eastAsia="ru-RU"/>
        </w:rPr>
        <w:br/>
        <w:t>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целевых средств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Российской Федерации, приобретения услуг по приему платежей от физических лиц, осуществляемых платежными агентами.</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r w:rsidRPr="00AB2959">
        <w:rPr>
          <w:rFonts w:ascii="Liberation Serif" w:eastAsia="Times New Roman" w:hAnsi="Liberation Serif" w:cs="Times New Roman"/>
          <w:sz w:val="28"/>
          <w:szCs w:val="28"/>
          <w:lang w:eastAsia="ru-RU"/>
        </w:rPr>
        <w:t>9. Казначейское сопровождение целевых средств, предоставляемых на основании муниципальных контрактов, соглашений или контрактов (договоров),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государственной тайне.</w:t>
      </w:r>
    </w:p>
    <w:p w:rsidR="00AB2959" w:rsidRPr="00AB2959" w:rsidRDefault="00AB2959" w:rsidP="00AB2959">
      <w:pPr>
        <w:autoSpaceDE w:val="0"/>
        <w:autoSpaceDN w:val="0"/>
        <w:adjustRightInd w:val="0"/>
        <w:spacing w:after="0" w:line="240" w:lineRule="auto"/>
        <w:ind w:firstLine="708"/>
        <w:jc w:val="both"/>
        <w:rPr>
          <w:rFonts w:ascii="Liberation Serif" w:eastAsia="Calibri" w:hAnsi="Liberation Serif" w:cs="Liberation Serif"/>
          <w:sz w:val="28"/>
          <w:szCs w:val="28"/>
          <w:lang w:eastAsia="ru-RU"/>
        </w:rPr>
      </w:pPr>
      <w:r w:rsidRPr="00AB2959">
        <w:rPr>
          <w:rFonts w:ascii="Liberation Serif" w:eastAsia="Times New Roman" w:hAnsi="Liberation Serif" w:cs="Times New Roman"/>
          <w:sz w:val="28"/>
          <w:szCs w:val="28"/>
          <w:lang w:eastAsia="ru-RU"/>
        </w:rPr>
        <w:t xml:space="preserve">10. </w:t>
      </w:r>
      <w:r w:rsidRPr="00AB2959">
        <w:rPr>
          <w:rFonts w:ascii="Liberation Serif" w:eastAsia="Calibri" w:hAnsi="Liberation Serif" w:cs="Liberation Serif"/>
          <w:sz w:val="28"/>
          <w:szCs w:val="28"/>
          <w:lang w:eastAsia="ru-RU"/>
        </w:rPr>
        <w:t>Финансовое управление ежедневно (в рабочие дни) предоставляет информацию о муниципальных контрактах, соглашениях, контрактах (договорах),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w:t>
      </w:r>
    </w:p>
    <w:p w:rsidR="00AB2959" w:rsidRPr="00AB2959" w:rsidRDefault="00AB2959" w:rsidP="00AB2959">
      <w:pPr>
        <w:autoSpaceDE w:val="0"/>
        <w:autoSpaceDN w:val="0"/>
        <w:adjustRightInd w:val="0"/>
        <w:spacing w:after="0" w:line="240" w:lineRule="auto"/>
        <w:ind w:firstLine="708"/>
        <w:jc w:val="both"/>
        <w:rPr>
          <w:rFonts w:ascii="Liberation Serif" w:eastAsia="Calibri" w:hAnsi="Liberation Serif" w:cs="Liberation Serif"/>
          <w:sz w:val="28"/>
          <w:szCs w:val="28"/>
          <w:lang w:eastAsia="ru-RU"/>
        </w:rPr>
      </w:pPr>
      <w:r w:rsidRPr="00AB2959">
        <w:rPr>
          <w:rFonts w:ascii="Liberation Serif" w:eastAsia="Calibri" w:hAnsi="Liberation Serif" w:cs="Liberation Serif"/>
          <w:sz w:val="28"/>
          <w:szCs w:val="28"/>
          <w:lang w:eastAsia="ru-RU"/>
        </w:rPr>
        <w:t xml:space="preserve">11. Бюджетный мониторинг при открытии лицевых счетов и осуществлении операций на лицевых счетах проводится территориальным органом Федерального казначейства в порядке, установленном </w:t>
      </w:r>
      <w:r w:rsidRPr="00AB2959">
        <w:rPr>
          <w:rFonts w:ascii="Liberation Serif" w:eastAsia="Calibri" w:hAnsi="Liberation Serif" w:cs="Liberation Serif"/>
          <w:sz w:val="28"/>
          <w:szCs w:val="28"/>
          <w:lang w:eastAsia="ru-RU"/>
        </w:rPr>
        <w:lastRenderedPageBreak/>
        <w:t>Правительством Российской Федерации в соответствии со статьей 242.13-1 Бюджетного кодекса.</w:t>
      </w:r>
    </w:p>
    <w:p w:rsidR="00AB2959" w:rsidRPr="00AB2959" w:rsidRDefault="00AB2959" w:rsidP="00AB2959">
      <w:pPr>
        <w:spacing w:after="0" w:line="240" w:lineRule="auto"/>
        <w:ind w:firstLine="708"/>
        <w:jc w:val="both"/>
        <w:rPr>
          <w:rFonts w:ascii="Liberation Serif" w:eastAsia="Times New Roman" w:hAnsi="Liberation Serif" w:cs="Times New Roman"/>
          <w:sz w:val="28"/>
          <w:szCs w:val="28"/>
          <w:lang w:eastAsia="ru-RU"/>
        </w:rPr>
      </w:pPr>
    </w:p>
    <w:p w:rsidR="00AB2959" w:rsidRDefault="00AB2959"/>
    <w:sectPr w:rsidR="00AB2959"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D94" w:rsidRDefault="009B6D94">
      <w:pPr>
        <w:spacing w:after="0" w:line="240" w:lineRule="auto"/>
      </w:pPr>
      <w:r>
        <w:separator/>
      </w:r>
    </w:p>
  </w:endnote>
  <w:endnote w:type="continuationSeparator" w:id="0">
    <w:p w:rsidR="009B6D94" w:rsidRDefault="009B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497399" w:rsidP="00810AAA">
    <w:pPr>
      <w:pStyle w:val="a5"/>
      <w:jc w:val="right"/>
      <w:rPr>
        <w:sz w:val="20"/>
        <w:szCs w:val="20"/>
      </w:rPr>
    </w:pPr>
    <w:r w:rsidRPr="00EC798A">
      <w:rPr>
        <w:sz w:val="20"/>
        <w:szCs w:val="20"/>
      </w:rPr>
      <w:t>Вр-394011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497399" w:rsidP="007B0005">
    <w:pPr>
      <w:pStyle w:val="a5"/>
      <w:jc w:val="right"/>
      <w:rPr>
        <w:sz w:val="20"/>
        <w:szCs w:val="20"/>
      </w:rPr>
    </w:pPr>
    <w:r w:rsidRPr="00EC798A">
      <w:rPr>
        <w:sz w:val="20"/>
        <w:szCs w:val="20"/>
      </w:rPr>
      <w:t>Вр-394011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D94" w:rsidRDefault="009B6D94">
      <w:pPr>
        <w:spacing w:after="0" w:line="240" w:lineRule="auto"/>
      </w:pPr>
      <w:r>
        <w:separator/>
      </w:r>
    </w:p>
  </w:footnote>
  <w:footnote w:type="continuationSeparator" w:id="0">
    <w:p w:rsidR="009B6D94" w:rsidRDefault="009B6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592918101" w:edGrp="everyone"/>
  <w:p w:rsidR="00AF0248" w:rsidRDefault="00497399">
    <w:pPr>
      <w:pStyle w:val="a3"/>
      <w:jc w:val="center"/>
    </w:pPr>
    <w:r>
      <w:fldChar w:fldCharType="begin"/>
    </w:r>
    <w:r>
      <w:instrText xml:space="preserve"> PAGE   \* MERGEFORMAT </w:instrText>
    </w:r>
    <w:r>
      <w:fldChar w:fldCharType="separate"/>
    </w:r>
    <w:r w:rsidR="00AB2959">
      <w:rPr>
        <w:noProof/>
      </w:rPr>
      <w:t>2</w:t>
    </w:r>
    <w:r>
      <w:fldChar w:fldCharType="end"/>
    </w:r>
  </w:p>
  <w:permEnd w:id="592918101"/>
  <w:p w:rsidR="00810AAA" w:rsidRPr="00810AAA" w:rsidRDefault="009B6D9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9B6D94" w:rsidP="00810AAA">
    <w:pPr>
      <w:pStyle w:val="a3"/>
      <w:jc w:val="center"/>
    </w:pPr>
    <w:permStart w:id="1921679030" w:edGrp="everyone"/>
    <w:permEnd w:id="192167903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7C"/>
    <w:rsid w:val="001D6C88"/>
    <w:rsid w:val="00497399"/>
    <w:rsid w:val="009B6D94"/>
    <w:rsid w:val="00AB2959"/>
    <w:rsid w:val="00D81A7C"/>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7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97399"/>
    <w:rPr>
      <w:rFonts w:ascii="Times New Roman" w:eastAsia="Times New Roman" w:hAnsi="Times New Roman" w:cs="Times New Roman"/>
      <w:sz w:val="24"/>
      <w:szCs w:val="24"/>
      <w:lang w:eastAsia="ru-RU"/>
    </w:rPr>
  </w:style>
  <w:style w:type="paragraph" w:styleId="a5">
    <w:name w:val="footer"/>
    <w:basedOn w:val="a"/>
    <w:link w:val="a6"/>
    <w:rsid w:val="00497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9739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7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97399"/>
    <w:rPr>
      <w:rFonts w:ascii="Times New Roman" w:eastAsia="Times New Roman" w:hAnsi="Times New Roman" w:cs="Times New Roman"/>
      <w:sz w:val="24"/>
      <w:szCs w:val="24"/>
      <w:lang w:eastAsia="ru-RU"/>
    </w:rPr>
  </w:style>
  <w:style w:type="paragraph" w:styleId="a5">
    <w:name w:val="footer"/>
    <w:basedOn w:val="a"/>
    <w:link w:val="a6"/>
    <w:rsid w:val="00497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973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1881</Words>
  <Characters>10728</Characters>
  <Application>Microsoft Office Word</Application>
  <DocSecurity>0</DocSecurity>
  <Lines>89</Lines>
  <Paragraphs>25</Paragraphs>
  <ScaleCrop>false</ScaleCrop>
  <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2022-03-02T10:20:00Z</dcterms:created>
  <dcterms:modified xsi:type="dcterms:W3CDTF">2022-03-02T10:21:00Z</dcterms:modified>
</cp:coreProperties>
</file>