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FC" w:rsidRDefault="00C07EFC" w:rsidP="00C07EFC">
      <w:pPr>
        <w:jc w:val="center"/>
        <w:rPr>
          <w:rFonts w:ascii="Times New Roman" w:hAnsi="Times New Roman"/>
          <w:b/>
          <w:sz w:val="24"/>
          <w:szCs w:val="24"/>
        </w:rPr>
      </w:pPr>
      <w:r w:rsidRPr="00EE1C64">
        <w:rPr>
          <w:rFonts w:ascii="Times New Roman" w:hAnsi="Times New Roman"/>
          <w:b/>
          <w:sz w:val="24"/>
          <w:szCs w:val="24"/>
        </w:rPr>
        <w:t>Пояснительная записка о реализации муниципальной программы</w:t>
      </w:r>
    </w:p>
    <w:p w:rsidR="00C07EFC" w:rsidRDefault="00C07EFC" w:rsidP="00C07EFC">
      <w:pPr>
        <w:jc w:val="center"/>
        <w:rPr>
          <w:rFonts w:ascii="Times New Roman" w:hAnsi="Times New Roman"/>
          <w:b/>
          <w:sz w:val="24"/>
          <w:szCs w:val="24"/>
        </w:rPr>
      </w:pPr>
      <w:r w:rsidRPr="00EE1C64">
        <w:rPr>
          <w:rFonts w:ascii="Times New Roman" w:hAnsi="Times New Roman"/>
          <w:b/>
          <w:sz w:val="24"/>
          <w:szCs w:val="24"/>
        </w:rPr>
        <w:t xml:space="preserve"> </w:t>
      </w:r>
      <w:r w:rsidRPr="00FA72F2">
        <w:rPr>
          <w:rFonts w:ascii="Times New Roman" w:hAnsi="Times New Roman"/>
          <w:b/>
          <w:sz w:val="24"/>
          <w:szCs w:val="24"/>
        </w:rPr>
        <w:t>«Повышение эффективности управления муниципальной собственностью на территории городского округа Верхняя Пышма до 2024</w:t>
      </w:r>
      <w:r>
        <w:rPr>
          <w:rFonts w:ascii="Times New Roman" w:hAnsi="Times New Roman"/>
          <w:b/>
          <w:sz w:val="24"/>
          <w:szCs w:val="24"/>
        </w:rPr>
        <w:t xml:space="preserve"> года», утвержденной</w:t>
      </w:r>
      <w:r w:rsidRPr="00FA72F2">
        <w:rPr>
          <w:rFonts w:ascii="Times New Roman" w:hAnsi="Times New Roman"/>
          <w:b/>
          <w:sz w:val="24"/>
          <w:szCs w:val="24"/>
        </w:rPr>
        <w:t xml:space="preserve"> постановлением администрации городского округа Верхняя Пышма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72F2">
        <w:rPr>
          <w:rFonts w:ascii="Times New Roman" w:hAnsi="Times New Roman"/>
          <w:b/>
          <w:sz w:val="24"/>
          <w:szCs w:val="24"/>
        </w:rPr>
        <w:t>от 30.09.2014 №1711</w:t>
      </w:r>
      <w:r w:rsidRPr="00EE1C64">
        <w:rPr>
          <w:rFonts w:ascii="Times New Roman" w:hAnsi="Times New Roman"/>
          <w:b/>
          <w:sz w:val="24"/>
          <w:szCs w:val="24"/>
        </w:rPr>
        <w:t xml:space="preserve"> </w:t>
      </w:r>
    </w:p>
    <w:p w:rsidR="00C07EFC" w:rsidRPr="00EE1C64" w:rsidRDefault="00C07EFC" w:rsidP="00C07EFC">
      <w:pPr>
        <w:jc w:val="center"/>
        <w:rPr>
          <w:rFonts w:ascii="Times New Roman" w:hAnsi="Times New Roman"/>
          <w:b/>
          <w:sz w:val="24"/>
          <w:szCs w:val="24"/>
        </w:rPr>
      </w:pPr>
      <w:r w:rsidRPr="00EE1C64">
        <w:rPr>
          <w:rFonts w:ascii="Times New Roman" w:hAnsi="Times New Roman"/>
          <w:b/>
          <w:sz w:val="24"/>
          <w:szCs w:val="24"/>
        </w:rPr>
        <w:t>(далее – Программа)</w:t>
      </w:r>
    </w:p>
    <w:p w:rsidR="00C07EFC" w:rsidRDefault="00C07EFC" w:rsidP="00C07E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B112A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1 полугодие</w:t>
      </w:r>
      <w:r w:rsidRPr="00EB112A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1</w:t>
      </w:r>
      <w:r w:rsidRPr="00EB112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07EFC" w:rsidRPr="00EE1C64" w:rsidRDefault="00C07EFC" w:rsidP="00C07EFC">
      <w:pPr>
        <w:pStyle w:val="a3"/>
        <w:spacing w:after="0" w:line="240" w:lineRule="auto"/>
        <w:ind w:left="1175"/>
        <w:jc w:val="center"/>
        <w:rPr>
          <w:rFonts w:ascii="Liberation Serif" w:hAnsi="Liberation Serif"/>
          <w:b/>
          <w:sz w:val="24"/>
          <w:szCs w:val="24"/>
        </w:rPr>
      </w:pPr>
    </w:p>
    <w:p w:rsidR="00C07EFC" w:rsidRPr="00EE1C64" w:rsidRDefault="00C07EFC" w:rsidP="00C07EF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- комитет </w:t>
      </w:r>
      <w:r>
        <w:rPr>
          <w:rFonts w:ascii="Liberation Serif" w:hAnsi="Liberation Serif"/>
          <w:sz w:val="24"/>
          <w:szCs w:val="24"/>
        </w:rPr>
        <w:t xml:space="preserve">по управлению имуществом </w:t>
      </w:r>
      <w:r w:rsidRPr="00EE1C64"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Пышма. </w:t>
      </w:r>
    </w:p>
    <w:p w:rsidR="00C07EFC" w:rsidRPr="00EE1C64" w:rsidRDefault="00C07EFC" w:rsidP="00C07EF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На реализа</w:t>
      </w:r>
      <w:r>
        <w:rPr>
          <w:rFonts w:ascii="Liberation Serif" w:hAnsi="Liberation Serif"/>
          <w:sz w:val="24"/>
          <w:szCs w:val="24"/>
        </w:rPr>
        <w:t>цию мероприятий Программы в 2021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4"/>
        </w:rPr>
        <w:t>74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миллионов 915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74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миллиона 915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рублей.</w:t>
      </w:r>
    </w:p>
    <w:p w:rsidR="00C07EFC" w:rsidRPr="00EE1C64" w:rsidRDefault="00C07EFC" w:rsidP="00C07EF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1 полугодии </w:t>
      </w:r>
      <w:r w:rsidRPr="00EE1C6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1</w:t>
      </w:r>
      <w:r w:rsidRPr="00EE1C64">
        <w:rPr>
          <w:rFonts w:ascii="Liberation Serif" w:hAnsi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а</w:t>
      </w:r>
      <w:r w:rsidRPr="00EE1C64">
        <w:rPr>
          <w:rFonts w:ascii="Liberation Serif" w:hAnsi="Liberation Serif"/>
          <w:sz w:val="24"/>
          <w:szCs w:val="24"/>
        </w:rPr>
        <w:t xml:space="preserve"> освоены средства в размере </w:t>
      </w:r>
      <w:r>
        <w:rPr>
          <w:rFonts w:ascii="Liberation Serif" w:hAnsi="Liberation Serif"/>
          <w:sz w:val="24"/>
          <w:szCs w:val="24"/>
        </w:rPr>
        <w:t>15</w:t>
      </w:r>
      <w:r w:rsidRPr="00EE1C64">
        <w:rPr>
          <w:rFonts w:ascii="Liberation Serif" w:hAnsi="Liberation Serif"/>
          <w:sz w:val="24"/>
          <w:szCs w:val="24"/>
        </w:rPr>
        <w:t xml:space="preserve"> миллион</w:t>
      </w:r>
      <w:r>
        <w:rPr>
          <w:rFonts w:ascii="Liberation Serif" w:hAnsi="Liberation Serif"/>
          <w:sz w:val="24"/>
          <w:szCs w:val="24"/>
        </w:rPr>
        <w:t>ов 436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 или </w:t>
      </w:r>
      <w:r>
        <w:rPr>
          <w:rFonts w:ascii="Liberation Serif" w:hAnsi="Liberation Serif"/>
          <w:sz w:val="24"/>
          <w:szCs w:val="24"/>
        </w:rPr>
        <w:t>20,6 %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15</w:t>
      </w:r>
      <w:r w:rsidRPr="00EE1C64">
        <w:rPr>
          <w:rFonts w:ascii="Liberation Serif" w:hAnsi="Liberation Serif"/>
          <w:sz w:val="24"/>
          <w:szCs w:val="24"/>
        </w:rPr>
        <w:t xml:space="preserve"> миллион</w:t>
      </w:r>
      <w:r>
        <w:rPr>
          <w:rFonts w:ascii="Liberation Serif" w:hAnsi="Liberation Serif"/>
          <w:sz w:val="24"/>
          <w:szCs w:val="24"/>
        </w:rPr>
        <w:t>ов 436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 или </w:t>
      </w:r>
      <w:r>
        <w:rPr>
          <w:rFonts w:ascii="Liberation Serif" w:hAnsi="Liberation Serif"/>
          <w:sz w:val="24"/>
          <w:szCs w:val="24"/>
        </w:rPr>
        <w:t>20,6 %</w:t>
      </w:r>
      <w:r w:rsidRPr="00EE1C64">
        <w:rPr>
          <w:rFonts w:ascii="Liberation Serif" w:hAnsi="Liberation Serif"/>
          <w:sz w:val="24"/>
          <w:szCs w:val="24"/>
        </w:rPr>
        <w:t xml:space="preserve"> от плана.</w:t>
      </w:r>
    </w:p>
    <w:p w:rsidR="00C07EFC" w:rsidRPr="00EE1C64" w:rsidRDefault="00C07EFC" w:rsidP="00C07EF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подпрограмм</w:t>
      </w:r>
      <w:r>
        <w:rPr>
          <w:rFonts w:ascii="Liberation Serif" w:hAnsi="Liberation Serif"/>
          <w:sz w:val="24"/>
          <w:szCs w:val="24"/>
        </w:rPr>
        <w:t>ы</w:t>
      </w:r>
      <w:r w:rsidRPr="00EE1C64">
        <w:rPr>
          <w:rFonts w:ascii="Liberation Serif" w:hAnsi="Liberation Serif"/>
          <w:sz w:val="24"/>
          <w:szCs w:val="24"/>
        </w:rPr>
        <w:t xml:space="preserve"> (далее – ПП).</w:t>
      </w:r>
    </w:p>
    <w:p w:rsidR="00C07EFC" w:rsidRPr="00EE1C64" w:rsidRDefault="00C07EFC" w:rsidP="00C07EFC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EE1C64">
        <w:rPr>
          <w:rFonts w:ascii="Liberation Serif" w:hAnsi="Liberation Serif"/>
          <w:i/>
          <w:sz w:val="24"/>
          <w:szCs w:val="24"/>
        </w:rPr>
        <w:t>Таблица 1</w:t>
      </w:r>
    </w:p>
    <w:p w:rsidR="00C07EFC" w:rsidRPr="00CA5B57" w:rsidRDefault="00C07EFC" w:rsidP="00C07EFC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</w:t>
      </w:r>
      <w:r w:rsidRPr="00CA5B57">
        <w:rPr>
          <w:rFonts w:ascii="Times New Roman" w:hAnsi="Times New Roman"/>
          <w:sz w:val="24"/>
          <w:szCs w:val="24"/>
        </w:rPr>
        <w:t>«Повышение эффективности управления муниципальной собственностью на территории городского округа Верхняя Пышма до 2024 года»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1"/>
        <w:gridCol w:w="2618"/>
        <w:gridCol w:w="1944"/>
        <w:gridCol w:w="1121"/>
        <w:gridCol w:w="1579"/>
        <w:gridCol w:w="1542"/>
      </w:tblGrid>
      <w:tr w:rsidR="00C07EFC" w:rsidRPr="00EE1C64" w:rsidTr="00C87780">
        <w:trPr>
          <w:trHeight w:val="291"/>
          <w:tblHeader/>
        </w:trPr>
        <w:tc>
          <w:tcPr>
            <w:tcW w:w="289" w:type="pct"/>
            <w:vMerge w:val="restar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1040" w:type="pct"/>
            <w:vMerge w:val="restar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445" w:type="pct"/>
            <w:gridSpan w:val="2"/>
            <w:shd w:val="clear" w:color="auto" w:fill="auto"/>
          </w:tcPr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C07EFC" w:rsidRPr="00EE1C64" w:rsidTr="00C87780">
        <w:tc>
          <w:tcPr>
            <w:tcW w:w="289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45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26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07EFC" w:rsidRPr="00EE1C64" w:rsidTr="00C87780">
        <w:tc>
          <w:tcPr>
            <w:tcW w:w="289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45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26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C07EFC" w:rsidRPr="00EE1C64" w:rsidTr="00C87780">
        <w:trPr>
          <w:trHeight w:val="1156"/>
        </w:trPr>
        <w:tc>
          <w:tcPr>
            <w:tcW w:w="289" w:type="pct"/>
            <w:vMerge w:val="restar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  <w:shd w:val="clear" w:color="auto" w:fill="auto"/>
          </w:tcPr>
          <w:p w:rsidR="00C07EFC" w:rsidRPr="001D07FB" w:rsidRDefault="00C07EFC" w:rsidP="00C8778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040" w:type="pc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00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55 483,2</w:t>
            </w:r>
          </w:p>
        </w:tc>
        <w:tc>
          <w:tcPr>
            <w:tcW w:w="845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7 119,5</w:t>
            </w:r>
          </w:p>
        </w:tc>
        <w:tc>
          <w:tcPr>
            <w:tcW w:w="826" w:type="pc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           12,8</w:t>
            </w:r>
          </w:p>
        </w:tc>
      </w:tr>
      <w:tr w:rsidR="00C07EFC" w:rsidRPr="00EE1C64" w:rsidTr="00C87780">
        <w:tc>
          <w:tcPr>
            <w:tcW w:w="289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00" w:type="pct"/>
            <w:shd w:val="clear" w:color="auto" w:fill="auto"/>
          </w:tcPr>
          <w:p w:rsidR="00C07EFC" w:rsidRPr="00E65498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55 483,2</w:t>
            </w:r>
          </w:p>
        </w:tc>
        <w:tc>
          <w:tcPr>
            <w:tcW w:w="845" w:type="pct"/>
            <w:shd w:val="clear" w:color="auto" w:fill="auto"/>
          </w:tcPr>
          <w:p w:rsidR="00C07EFC" w:rsidRPr="00E65498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7 119,5</w:t>
            </w:r>
          </w:p>
        </w:tc>
        <w:tc>
          <w:tcPr>
            <w:tcW w:w="826" w:type="pct"/>
            <w:shd w:val="clear" w:color="auto" w:fill="auto"/>
          </w:tcPr>
          <w:p w:rsidR="00C07EFC" w:rsidRPr="00E65498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12,8</w:t>
            </w:r>
          </w:p>
        </w:tc>
      </w:tr>
      <w:tr w:rsidR="00C07EFC" w:rsidRPr="00EE1C64" w:rsidTr="00C87780">
        <w:trPr>
          <w:trHeight w:val="1402"/>
        </w:trPr>
        <w:tc>
          <w:tcPr>
            <w:tcW w:w="289" w:type="pct"/>
            <w:vMerge w:val="restar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  <w:shd w:val="clear" w:color="auto" w:fill="auto"/>
          </w:tcPr>
          <w:p w:rsidR="00C07EFC" w:rsidRPr="001D07FB" w:rsidRDefault="00C07EFC" w:rsidP="00C8778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040" w:type="pc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00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19 431,9</w:t>
            </w:r>
          </w:p>
        </w:tc>
        <w:tc>
          <w:tcPr>
            <w:tcW w:w="845" w:type="pct"/>
            <w:shd w:val="clear" w:color="auto" w:fill="auto"/>
          </w:tcPr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8 316,9</w:t>
            </w:r>
          </w:p>
        </w:tc>
        <w:tc>
          <w:tcPr>
            <w:tcW w:w="826" w:type="pct"/>
            <w:shd w:val="clear" w:color="auto" w:fill="auto"/>
          </w:tcPr>
          <w:p w:rsidR="00C07EFC" w:rsidRDefault="00C07EFC" w:rsidP="00C8778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            42,8</w:t>
            </w:r>
          </w:p>
          <w:p w:rsidR="00C07EFC" w:rsidRPr="00EE1C64" w:rsidRDefault="00C07EFC" w:rsidP="00C8778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07EFC" w:rsidRPr="00EE1C64" w:rsidTr="00C87780">
        <w:tc>
          <w:tcPr>
            <w:tcW w:w="289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:rsidR="00C07EFC" w:rsidRPr="00EE1C64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00" w:type="pct"/>
            <w:shd w:val="clear" w:color="auto" w:fill="auto"/>
          </w:tcPr>
          <w:p w:rsidR="00C07EFC" w:rsidRPr="00E65498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19 431,9</w:t>
            </w:r>
          </w:p>
        </w:tc>
        <w:tc>
          <w:tcPr>
            <w:tcW w:w="845" w:type="pct"/>
            <w:shd w:val="clear" w:color="auto" w:fill="auto"/>
          </w:tcPr>
          <w:p w:rsidR="00C07EFC" w:rsidRPr="00E65498" w:rsidRDefault="00C07EFC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  8 316,9</w:t>
            </w:r>
          </w:p>
        </w:tc>
        <w:tc>
          <w:tcPr>
            <w:tcW w:w="826" w:type="pct"/>
            <w:shd w:val="clear" w:color="auto" w:fill="auto"/>
          </w:tcPr>
          <w:p w:rsidR="00C07EFC" w:rsidRPr="00E65498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42,8</w:t>
            </w:r>
          </w:p>
          <w:p w:rsidR="00C07EFC" w:rsidRPr="00E65498" w:rsidRDefault="00C07EFC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C07EFC" w:rsidRPr="001A0B17" w:rsidRDefault="00C07EFC" w:rsidP="00C07EFC">
      <w:pPr>
        <w:spacing w:after="0" w:line="240" w:lineRule="auto"/>
        <w:ind w:firstLine="708"/>
        <w:contextualSpacing/>
        <w:rPr>
          <w:rFonts w:ascii="Liberation Serif" w:hAnsi="Liberation Serif"/>
          <w:b/>
          <w:sz w:val="28"/>
          <w:szCs w:val="28"/>
          <w:lang w:eastAsia="ru-RU"/>
        </w:rPr>
      </w:pPr>
    </w:p>
    <w:p w:rsidR="00C07EFC" w:rsidRPr="00B37D34" w:rsidRDefault="00C07EFC" w:rsidP="00C07EF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>1 полугодии 2021 года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:rsidR="00C07EFC" w:rsidRDefault="00C07EFC" w:rsidP="00C07EFC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B37D34">
        <w:rPr>
          <w:rFonts w:ascii="Liberation Serif" w:hAnsi="Liberation Serif"/>
          <w:i/>
          <w:sz w:val="24"/>
          <w:szCs w:val="24"/>
          <w:lang w:eastAsia="ru-RU"/>
        </w:rPr>
        <w:lastRenderedPageBreak/>
        <w:t xml:space="preserve">Подпрограмма 1 </w:t>
      </w:r>
      <w:r w:rsidRPr="001D07FB">
        <w:rPr>
          <w:rFonts w:ascii="Liberation Serif" w:hAnsi="Liberation Serif" w:cs="Liberation Serif"/>
          <w:bCs/>
          <w:i/>
          <w:color w:val="000000"/>
          <w:sz w:val="20"/>
          <w:szCs w:val="20"/>
        </w:rPr>
        <w:t>«ПРОГРАММА УПРАВЛЕНИЯ МУНИЦИПАЛЬНОЙ СОБСТВЕННОСТЬЮ И ПРИВАТИЗАЦИИ МУНИЦИПАЛЬНОГО ИМУЩЕСТВА НА ТЕРРИТОРИИ ГОРОДСКОГО ОКРУГА ВЕРХНЯЯ ПЫШМА»</w:t>
      </w:r>
      <w:r w:rsidRPr="001D07FB">
        <w:rPr>
          <w:rFonts w:ascii="Liberation Serif" w:hAnsi="Liberation Serif"/>
          <w:i/>
          <w:sz w:val="24"/>
          <w:szCs w:val="24"/>
          <w:lang w:eastAsia="ru-RU"/>
        </w:rPr>
        <w:t>:</w:t>
      </w:r>
    </w:p>
    <w:p w:rsidR="00C07EFC" w:rsidRPr="00B37D34" w:rsidRDefault="00C07EFC" w:rsidP="00C07EFC">
      <w:pPr>
        <w:spacing w:after="0" w:line="240" w:lineRule="auto"/>
        <w:contextualSpacing/>
        <w:jc w:val="both"/>
        <w:rPr>
          <w:rFonts w:ascii="Liberation Serif" w:hAnsi="Liberation Serif"/>
          <w:i/>
          <w:sz w:val="24"/>
          <w:szCs w:val="24"/>
          <w:lang w:eastAsia="ru-RU"/>
        </w:rPr>
      </w:pPr>
    </w:p>
    <w:p w:rsidR="00C07EFC" w:rsidRDefault="00C07EFC" w:rsidP="00C07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проведены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инвентаризационно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-технические работы с получением технических паспортов в отношении 13 объектов водоснабжения, находящихся в муниципальной собственности городского округа Верхняя Пышма;</w:t>
      </w:r>
    </w:p>
    <w:p w:rsidR="00C07EFC" w:rsidRDefault="00C07EFC" w:rsidP="00C07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обследовано техническое состояние 3 объектов недвижимого имущества: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котельной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Исетско-Аятского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 xml:space="preserve"> предприятия в п. Кедровое (ул. 40 лет Победы, д.4);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ангара в п. Кедровое (ул. Школьников, д. 10);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здание в п. Ольховка (ул. Горького-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Торфянников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);</w:t>
      </w:r>
    </w:p>
    <w:p w:rsidR="00C07EFC" w:rsidRDefault="00C07EFC" w:rsidP="00C07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проведена независимая оценка рыночной стоимости, права аренды и права заключения договора 431 объектов муниципальной собственности, в том числе: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для приватизации оценено 4 объекта; 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для проведения торгов по передачи прав аренды и собственности – 25 объектов;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по поводу изъятия для муниципальных нужд – 402 объекта;</w:t>
      </w:r>
    </w:p>
    <w:p w:rsidR="00C07EFC" w:rsidRDefault="00C07EFC" w:rsidP="00C07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21A7C">
        <w:rPr>
          <w:rFonts w:ascii="Liberation Serif" w:hAnsi="Liberation Serif"/>
          <w:sz w:val="24"/>
          <w:szCs w:val="24"/>
          <w:lang w:eastAsia="ru-RU"/>
        </w:rPr>
        <w:t>демонтирована</w:t>
      </w:r>
      <w:r>
        <w:rPr>
          <w:rFonts w:ascii="Liberation Serif" w:hAnsi="Liberation Serif"/>
          <w:sz w:val="24"/>
          <w:szCs w:val="24"/>
          <w:lang w:eastAsia="ru-RU"/>
        </w:rPr>
        <w:t xml:space="preserve"> 81</w:t>
      </w:r>
      <w:r w:rsidRPr="00421A7C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 xml:space="preserve">несанкционированная рекламная </w:t>
      </w:r>
      <w:r w:rsidRPr="00421A7C">
        <w:rPr>
          <w:rFonts w:ascii="Liberation Serif" w:hAnsi="Liberation Serif"/>
          <w:sz w:val="24"/>
          <w:szCs w:val="24"/>
          <w:lang w:eastAsia="ru-RU"/>
        </w:rPr>
        <w:t>конструкция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C07EFC" w:rsidRPr="00421A7C" w:rsidRDefault="00C07EFC" w:rsidP="00C07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21A7C">
        <w:rPr>
          <w:rFonts w:ascii="Liberation Serif" w:hAnsi="Liberation Serif"/>
          <w:sz w:val="24"/>
          <w:szCs w:val="24"/>
          <w:lang w:eastAsia="ru-RU"/>
        </w:rPr>
        <w:t xml:space="preserve">отправлено </w:t>
      </w:r>
      <w:r>
        <w:rPr>
          <w:rFonts w:ascii="Liberation Serif" w:hAnsi="Liberation Serif"/>
          <w:sz w:val="24"/>
          <w:szCs w:val="24"/>
          <w:lang w:eastAsia="ru-RU"/>
        </w:rPr>
        <w:t>510</w:t>
      </w:r>
      <w:r w:rsidRPr="00421A7C">
        <w:rPr>
          <w:rFonts w:ascii="Liberation Serif" w:hAnsi="Liberation Serif"/>
          <w:sz w:val="24"/>
          <w:szCs w:val="24"/>
          <w:lang w:eastAsia="ru-RU"/>
        </w:rPr>
        <w:t xml:space="preserve"> писем, бандеролей, посылок и телеграмм, в том числе и по претензионной деятельности;</w:t>
      </w:r>
    </w:p>
    <w:p w:rsidR="00C07EFC" w:rsidRDefault="00C07EFC" w:rsidP="00C07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приобретено 15 объектов недвижимости в муниципальную собственность, в том числе: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для муниципальных нужд были выкуплены 14 земельных участка и объекта недвижимости в ГСК 113;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для муниципальных нужд изъят земельный участок (автодорога к СНТ «Звездочка»);</w:t>
      </w:r>
    </w:p>
    <w:p w:rsidR="00C07EFC" w:rsidRPr="00025376" w:rsidRDefault="00C07EFC" w:rsidP="00C07E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25376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установлена система автоматической пожарной сигнализации, оповещения и управления эвакуацией людей при пожаре по адресу: г. Верхняя Пышма, ул. </w:t>
      </w:r>
      <w:proofErr w:type="spellStart"/>
      <w:r w:rsidRPr="00025376">
        <w:rPr>
          <w:rFonts w:ascii="Liberation Serif" w:hAnsi="Liberation Serif" w:cs="Liberation Serif"/>
          <w:bCs/>
          <w:color w:val="000000"/>
          <w:sz w:val="24"/>
          <w:szCs w:val="24"/>
        </w:rPr>
        <w:t>Балтымская</w:t>
      </w:r>
      <w:proofErr w:type="spellEnd"/>
      <w:r w:rsidRPr="00025376">
        <w:rPr>
          <w:rFonts w:ascii="Liberation Serif" w:hAnsi="Liberation Serif" w:cs="Liberation Serif"/>
          <w:bCs/>
          <w:color w:val="000000"/>
          <w:sz w:val="24"/>
          <w:szCs w:val="24"/>
        </w:rPr>
        <w:t>, 2а;</w:t>
      </w:r>
    </w:p>
    <w:p w:rsidR="00C07EFC" w:rsidRDefault="00C07EFC" w:rsidP="00C07E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обновлен 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МСП, количество объектов в перечне на 01 июля 2021 года составило 74 объекта.</w:t>
      </w:r>
    </w:p>
    <w:p w:rsidR="00C07EFC" w:rsidRDefault="00C07EFC" w:rsidP="00C07EFC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i/>
          <w:sz w:val="24"/>
          <w:szCs w:val="24"/>
          <w:lang w:eastAsia="ru-RU"/>
        </w:rPr>
        <w:t xml:space="preserve">Подпрограмма </w:t>
      </w:r>
      <w:r w:rsidRPr="00502968">
        <w:rPr>
          <w:rFonts w:ascii="Liberation Serif" w:hAnsi="Liberation Serif"/>
          <w:sz w:val="24"/>
          <w:szCs w:val="24"/>
          <w:lang w:eastAsia="ru-RU"/>
        </w:rPr>
        <w:t xml:space="preserve">2 </w:t>
      </w:r>
      <w:r w:rsidRPr="00502968">
        <w:rPr>
          <w:rFonts w:ascii="Liberation Serif" w:hAnsi="Liberation Serif" w:cs="Liberation Serif"/>
          <w:bCs/>
          <w:i/>
          <w:color w:val="000000"/>
          <w:sz w:val="20"/>
          <w:szCs w:val="20"/>
        </w:rPr>
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</w:r>
    </w:p>
    <w:p w:rsidR="00C07EFC" w:rsidRPr="00B37D34" w:rsidRDefault="00C07EFC" w:rsidP="00C07EFC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C07EFC" w:rsidRDefault="00C07EFC" w:rsidP="00C07E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 в 1 полугодии 2021 года составило 97,5%;</w:t>
      </w:r>
    </w:p>
    <w:p w:rsidR="00C07EFC" w:rsidRDefault="00C07EFC" w:rsidP="00C07E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за счет бюджетных средств произведены ремонтные работы 2 квартир, находящихся в муниципальной собственности городского округа Верхняя Пышма.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C07EFC" w:rsidRPr="00025376" w:rsidRDefault="00C07EFC" w:rsidP="00C07EFC">
      <w:pPr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    </w:t>
      </w:r>
      <w:r w:rsidRPr="00025376">
        <w:rPr>
          <w:rFonts w:ascii="Liberation Serif" w:hAnsi="Liberation Serif" w:cs="Liberation Serif"/>
          <w:sz w:val="24"/>
          <w:szCs w:val="24"/>
          <w:lang w:eastAsia="ru-RU"/>
        </w:rPr>
        <w:t xml:space="preserve">Запланированные показатели и полное освоение выделенного на 2021 год финансирования мероприятий муниципальной программы </w:t>
      </w:r>
      <w:r w:rsidRPr="00025376">
        <w:rPr>
          <w:rFonts w:ascii="Liberation Serif" w:hAnsi="Liberation Serif" w:cs="Liberation Serif"/>
          <w:sz w:val="24"/>
          <w:szCs w:val="24"/>
        </w:rPr>
        <w:t xml:space="preserve">«Повышение эффективности управления муниципальной собственностью на территории городского округа Верхняя Пышма до 2024 года», утвержденной постановлением администрации городского округа Верхняя Пышма от 30.09.2014 №1711 </w:t>
      </w:r>
      <w:r w:rsidRPr="00025376">
        <w:rPr>
          <w:rFonts w:ascii="Liberation Serif" w:hAnsi="Liberation Serif" w:cs="Liberation Serif"/>
          <w:sz w:val="24"/>
          <w:szCs w:val="24"/>
          <w:lang w:eastAsia="ru-RU"/>
        </w:rPr>
        <w:t>будут достигнуты в 4 квартале 2021 года.</w:t>
      </w:r>
    </w:p>
    <w:p w:rsidR="00C07EFC" w:rsidRDefault="00C07EFC" w:rsidP="00C07EFC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C07EFC" w:rsidRDefault="00C07EFC">
      <w:r>
        <w:br w:type="page"/>
      </w:r>
    </w:p>
    <w:p w:rsidR="00C07EFC" w:rsidRDefault="00C07EFC">
      <w:pPr>
        <w:sectPr w:rsidR="00C07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ook w:val="04A0" w:firstRow="1" w:lastRow="0" w:firstColumn="1" w:lastColumn="0" w:noHBand="0" w:noVBand="1"/>
      </w:tblPr>
      <w:tblGrid>
        <w:gridCol w:w="14967"/>
      </w:tblGrid>
      <w:tr w:rsidR="00C07EFC" w:rsidRPr="00C07EFC" w:rsidTr="00C87780">
        <w:trPr>
          <w:trHeight w:val="37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EFC" w:rsidRPr="00C07EFC" w:rsidRDefault="00C07EFC" w:rsidP="00C07EFC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ОТЧЕТ</w:t>
            </w:r>
          </w:p>
        </w:tc>
      </w:tr>
      <w:tr w:rsidR="00C07EFC" w:rsidRPr="00C07EFC" w:rsidTr="00C87780">
        <w:trPr>
          <w:trHeight w:val="37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 реализации муниципальной программы</w:t>
            </w:r>
          </w:p>
        </w:tc>
      </w:tr>
      <w:tr w:rsidR="00C07EFC" w:rsidRPr="00C07EFC" w:rsidTr="00C87780">
        <w:trPr>
          <w:trHeight w:val="810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sz w:val="28"/>
                <w:szCs w:val="28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07EFC" w:rsidRPr="00C07EFC" w:rsidTr="00C87780">
        <w:trPr>
          <w:trHeight w:val="61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sz w:val="28"/>
                <w:szCs w:val="28"/>
              </w:rPr>
              <w:t>Форма 1</w:t>
            </w:r>
          </w:p>
        </w:tc>
      </w:tr>
      <w:tr w:rsidR="00C07EFC" w:rsidRPr="00C07EFC" w:rsidTr="00C87780">
        <w:trPr>
          <w:trHeight w:val="510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Достижение целевых показателей муниципальной программы за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 полугодие</w:t>
            </w:r>
            <w:r w:rsidRPr="00C07EF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2021 г. (отчётный период)</w:t>
            </w:r>
          </w:p>
        </w:tc>
      </w:tr>
    </w:tbl>
    <w:p w:rsidR="00C07EFC" w:rsidRPr="00C07EFC" w:rsidRDefault="00C07EFC" w:rsidP="00C07EFC">
      <w:pPr>
        <w:spacing w:after="0" w:line="240" w:lineRule="auto"/>
        <w:contextualSpacing/>
        <w:rPr>
          <w:rFonts w:ascii="Times New Roman" w:eastAsiaTheme="minorHAnsi" w:hAnsi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"/>
        <w:gridCol w:w="4166"/>
        <w:gridCol w:w="1503"/>
        <w:gridCol w:w="2276"/>
        <w:gridCol w:w="2319"/>
        <w:gridCol w:w="1782"/>
        <w:gridCol w:w="1954"/>
      </w:tblGrid>
      <w:tr w:rsidR="00C07EFC" w:rsidRPr="00C07EFC" w:rsidTr="00C87780">
        <w:tc>
          <w:tcPr>
            <w:tcW w:w="967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166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503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595" w:type="dxa"/>
            <w:gridSpan w:val="2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782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954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Причины отклонения от планового значения</w:t>
            </w:r>
          </w:p>
        </w:tc>
      </w:tr>
      <w:tr w:rsidR="00C07EFC" w:rsidRPr="00C07EFC" w:rsidTr="00C87780">
        <w:tc>
          <w:tcPr>
            <w:tcW w:w="967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66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782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</w:tbl>
    <w:p w:rsidR="00C07EFC" w:rsidRPr="00C07EFC" w:rsidRDefault="00C07EFC" w:rsidP="00C07EFC">
      <w:pPr>
        <w:contextualSpacing/>
        <w:rPr>
          <w:rFonts w:ascii="Times New Roman" w:eastAsiaTheme="minorHAnsi" w:hAnsi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"/>
        <w:gridCol w:w="4166"/>
        <w:gridCol w:w="1503"/>
        <w:gridCol w:w="2276"/>
        <w:gridCol w:w="2319"/>
        <w:gridCol w:w="1782"/>
        <w:gridCol w:w="1954"/>
      </w:tblGrid>
      <w:tr w:rsidR="00C07EFC" w:rsidRPr="00C07EFC" w:rsidTr="00C87780">
        <w:trPr>
          <w:tblHeader/>
        </w:trPr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150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8.7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88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3.4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объектов муниципальной собственности, по которым проведена </w:t>
            </w: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proofErr w:type="gram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установку</w:t>
            </w:r>
            <w:proofErr w:type="gramEnd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68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431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633.8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120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81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67.5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1520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510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33.6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41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36.6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0.0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100.0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</w:t>
            </w: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76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74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97.4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97,5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97.5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Количество объектов, по которым произведены мероприятия по обслуживанию и сохранности муниципального имущества (том числе по коммунальным затратам)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0.0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  <w:tr w:rsidR="00C07EFC" w:rsidRPr="00C07EFC" w:rsidTr="00C87780">
        <w:tc>
          <w:tcPr>
            <w:tcW w:w="967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</w:p>
        </w:tc>
        <w:tc>
          <w:tcPr>
            <w:tcW w:w="416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503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3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100.0</w:t>
            </w:r>
          </w:p>
        </w:tc>
        <w:tc>
          <w:tcPr>
            <w:tcW w:w="1954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Показатель будет достигнут в течение 2021 года</w:t>
            </w:r>
          </w:p>
        </w:tc>
      </w:tr>
    </w:tbl>
    <w:p w:rsidR="00C07EFC" w:rsidRPr="00C07EFC" w:rsidRDefault="00C07EFC" w:rsidP="00C07EFC">
      <w:pPr>
        <w:spacing w:after="0" w:line="240" w:lineRule="auto"/>
        <w:contextualSpacing/>
        <w:rPr>
          <w:rFonts w:ascii="Times New Roman" w:eastAsiaTheme="minorHAnsi" w:hAnsi="Times New Roman"/>
          <w:sz w:val="2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80"/>
        <w:gridCol w:w="1400"/>
        <w:gridCol w:w="2120"/>
        <w:gridCol w:w="2160"/>
        <w:gridCol w:w="1660"/>
        <w:gridCol w:w="1820"/>
      </w:tblGrid>
      <w:tr w:rsidR="00C07EFC" w:rsidRPr="00C07EFC" w:rsidTr="00C87780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rPr>
                <w:rFonts w:ascii="Times New Roman" w:eastAsiaTheme="minorHAnsi" w:hAnsi="Times New Roman"/>
                <w:sz w:val="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C07EFC" w:rsidRDefault="00C07EFC"/>
    <w:p w:rsidR="00C07EFC" w:rsidRDefault="00C07EFC">
      <w:r>
        <w:br w:type="page"/>
      </w:r>
    </w:p>
    <w:tbl>
      <w:tblPr>
        <w:tblW w:w="14825" w:type="dxa"/>
        <w:tblInd w:w="142" w:type="dxa"/>
        <w:tblLook w:val="04A0" w:firstRow="1" w:lastRow="0" w:firstColumn="1" w:lastColumn="0" w:noHBand="0" w:noVBand="1"/>
      </w:tblPr>
      <w:tblGrid>
        <w:gridCol w:w="14825"/>
      </w:tblGrid>
      <w:tr w:rsidR="00C07EFC" w:rsidRPr="00C07EFC" w:rsidTr="00C87780">
        <w:trPr>
          <w:trHeight w:val="510"/>
        </w:trPr>
        <w:tc>
          <w:tcPr>
            <w:tcW w:w="1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EFC" w:rsidRPr="00C07EFC" w:rsidRDefault="00C07EFC" w:rsidP="00C07EF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Форма 2</w:t>
            </w:r>
          </w:p>
        </w:tc>
      </w:tr>
      <w:tr w:rsidR="00C07EFC" w:rsidRPr="00C07EFC" w:rsidTr="00C87780">
        <w:trPr>
          <w:trHeight w:val="375"/>
        </w:trPr>
        <w:tc>
          <w:tcPr>
            <w:tcW w:w="1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Выполнение мероприятий муниципальной программы</w:t>
            </w:r>
          </w:p>
        </w:tc>
      </w:tr>
      <w:tr w:rsidR="00C07EFC" w:rsidRPr="00C07EFC" w:rsidTr="00C87780">
        <w:trPr>
          <w:trHeight w:val="375"/>
        </w:trPr>
        <w:tc>
          <w:tcPr>
            <w:tcW w:w="1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07EFC">
              <w:rPr>
                <w:rFonts w:ascii="Times New Roman" w:eastAsiaTheme="minorHAnsi" w:hAnsi="Times New Roman"/>
                <w:sz w:val="28"/>
                <w:szCs w:val="28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07EFC" w:rsidRPr="00C07EFC" w:rsidTr="00C87780">
        <w:trPr>
          <w:trHeight w:val="540"/>
        </w:trPr>
        <w:tc>
          <w:tcPr>
            <w:tcW w:w="1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1 полугодие </w:t>
            </w: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2021 г. (отчётный период)</w:t>
            </w:r>
          </w:p>
        </w:tc>
      </w:tr>
    </w:tbl>
    <w:p w:rsidR="00C07EFC" w:rsidRPr="00C07EFC" w:rsidRDefault="00C07EFC" w:rsidP="00C07EFC">
      <w:pPr>
        <w:spacing w:after="0" w:line="240" w:lineRule="auto"/>
        <w:contextualSpacing/>
        <w:rPr>
          <w:rFonts w:ascii="Times New Roman" w:eastAsiaTheme="minorHAnsi" w:hAnsi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4419"/>
        <w:gridCol w:w="2415"/>
        <w:gridCol w:w="2460"/>
        <w:gridCol w:w="1891"/>
        <w:gridCol w:w="2756"/>
      </w:tblGrid>
      <w:tr w:rsidR="00C07EFC" w:rsidRPr="00C07EFC" w:rsidTr="00C87780">
        <w:tc>
          <w:tcPr>
            <w:tcW w:w="1026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419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6766" w:type="dxa"/>
            <w:gridSpan w:val="3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Объем расходов на выполнение мероприятия, тыс. рублей</w:t>
            </w:r>
          </w:p>
        </w:tc>
        <w:tc>
          <w:tcPr>
            <w:tcW w:w="2756" w:type="dxa"/>
            <w:vMerge w:val="restart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Причины отклонения от планового значения</w:t>
            </w:r>
          </w:p>
        </w:tc>
      </w:tr>
      <w:tr w:rsidR="00C07EFC" w:rsidRPr="00C07EFC" w:rsidTr="00C87780">
        <w:tc>
          <w:tcPr>
            <w:tcW w:w="1026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9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2756" w:type="dxa"/>
            <w:vMerge/>
            <w:vAlign w:val="center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</w:tbl>
    <w:p w:rsidR="00C07EFC" w:rsidRPr="00C07EFC" w:rsidRDefault="00C07EFC" w:rsidP="00C07EFC">
      <w:pPr>
        <w:contextualSpacing/>
        <w:rPr>
          <w:rFonts w:ascii="Times New Roman" w:eastAsiaTheme="minorHAnsi" w:hAnsi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4419"/>
        <w:gridCol w:w="2415"/>
        <w:gridCol w:w="2460"/>
        <w:gridCol w:w="1891"/>
        <w:gridCol w:w="2756"/>
      </w:tblGrid>
      <w:tr w:rsidR="00C07EFC" w:rsidRPr="00C07EFC" w:rsidTr="00C87780">
        <w:trPr>
          <w:tblHeader/>
        </w:trPr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74 915.1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15 436.4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74 915.1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15 436.4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74 915.1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15 436.4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74 915.1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15 436.4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55 483.2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7 119.5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55 483.2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7 119.5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55 483.2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7 119.5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55 483.2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7 119.5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2 681.1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603.6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2 681.1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603.6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22.5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установку</w:t>
            </w:r>
            <w:proofErr w:type="gramEnd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479.7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340.8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479.7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340.8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71.0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361.8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226.8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62.7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361.8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226.8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62.7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118.4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113.4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95.8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118.4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113.4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95.8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50 532.2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4 524.9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50 532.2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4 524.9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9.0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50 532.2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4 524.9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50 532.2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4 524.9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9.0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1 310.0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1 310.0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23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1 310.0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1 310.0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100.0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C07EFC" w:rsidRPr="00C07EFC" w:rsidRDefault="00C07EFC" w:rsidP="00C07EFC">
            <w:pPr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ГОРОДСКОГО ОКРУГА ВЕРХНЯЯ ПЫШМА «ПОВЫШЕНИЕ ЭФФЕКТИВНОСТИ </w:t>
            </w: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lastRenderedPageBreak/>
              <w:t>УПРАВЛЕНИЯ МУНИЦИПАЛЬНОЙ СОБСТВЕННОСТЬЮ НА ТЕРРИТОРИИ ГОРОДСКОГО ОКРУГА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lastRenderedPageBreak/>
              <w:t>19 431.9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8 316.9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19 431.9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8 316.9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19 431.9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8 316.9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19 431.9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8 316.9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18 423.5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7 364.1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18 423.5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7 364.1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40.0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19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2415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1 008.4</w:t>
            </w:r>
          </w:p>
        </w:tc>
        <w:tc>
          <w:tcPr>
            <w:tcW w:w="2460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952.8</w:t>
            </w:r>
          </w:p>
        </w:tc>
        <w:tc>
          <w:tcPr>
            <w:tcW w:w="1891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2756" w:type="dxa"/>
            <w:shd w:val="clear" w:color="000000" w:fill="FFFFFF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7EFC" w:rsidRPr="00C07EFC" w:rsidTr="00C87780">
        <w:tc>
          <w:tcPr>
            <w:tcW w:w="102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32</w:t>
            </w:r>
          </w:p>
        </w:tc>
        <w:tc>
          <w:tcPr>
            <w:tcW w:w="4419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1 008.4</w:t>
            </w:r>
          </w:p>
        </w:tc>
        <w:tc>
          <w:tcPr>
            <w:tcW w:w="2460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952.8</w:t>
            </w:r>
          </w:p>
        </w:tc>
        <w:tc>
          <w:tcPr>
            <w:tcW w:w="1891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94.5</w:t>
            </w:r>
          </w:p>
        </w:tc>
        <w:tc>
          <w:tcPr>
            <w:tcW w:w="2756" w:type="dxa"/>
            <w:shd w:val="clear" w:color="auto" w:fill="auto"/>
            <w:hideMark/>
          </w:tcPr>
          <w:p w:rsidR="00C07EFC" w:rsidRPr="00C07EFC" w:rsidRDefault="00C07EFC" w:rsidP="00C07EFC">
            <w:pPr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EFC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</w:tr>
    </w:tbl>
    <w:p w:rsidR="0023116D" w:rsidRDefault="0023116D"/>
    <w:p w:rsidR="00C07EFC" w:rsidRDefault="00C07EFC"/>
    <w:p w:rsidR="00C07EFC" w:rsidRDefault="00C07EFC" w:rsidP="00C07EFC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EE1C64">
        <w:rPr>
          <w:rFonts w:ascii="Liberation Serif" w:hAnsi="Liberation Serif"/>
          <w:sz w:val="24"/>
          <w:szCs w:val="28"/>
          <w:lang w:eastAsia="ru-RU"/>
        </w:rPr>
        <w:t xml:space="preserve">Председатель комитета </w:t>
      </w:r>
    </w:p>
    <w:p w:rsidR="00C07EFC" w:rsidRDefault="00C07EFC" w:rsidP="00C07EFC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по управлению имуществом                                                                           О.В. Горских</w:t>
      </w:r>
    </w:p>
    <w:p w:rsidR="00C07EFC" w:rsidRDefault="00C07EFC" w:rsidP="00C07EFC">
      <w:pPr>
        <w:pStyle w:val="a5"/>
        <w:rPr>
          <w:rFonts w:ascii="Times New Roman" w:hAnsi="Times New Roman"/>
          <w:sz w:val="20"/>
        </w:rPr>
      </w:pPr>
    </w:p>
    <w:p w:rsidR="00C07EFC" w:rsidRDefault="00C07EFC" w:rsidP="00C07EFC">
      <w:pPr>
        <w:pStyle w:val="a5"/>
        <w:rPr>
          <w:rFonts w:ascii="Times New Roman" w:hAnsi="Times New Roman"/>
          <w:sz w:val="20"/>
        </w:rPr>
      </w:pPr>
    </w:p>
    <w:p w:rsidR="00C07EFC" w:rsidRDefault="00C07EFC" w:rsidP="00C07EFC">
      <w:pPr>
        <w:pStyle w:val="a5"/>
        <w:rPr>
          <w:rFonts w:ascii="Times New Roman" w:hAnsi="Times New Roman"/>
          <w:sz w:val="20"/>
        </w:rPr>
      </w:pPr>
    </w:p>
    <w:p w:rsidR="00C07EFC" w:rsidRDefault="00C07EFC" w:rsidP="00C07EFC">
      <w:pPr>
        <w:pStyle w:val="a5"/>
        <w:rPr>
          <w:rFonts w:ascii="Times New Roman" w:hAnsi="Times New Roman"/>
          <w:sz w:val="20"/>
        </w:rPr>
      </w:pPr>
    </w:p>
    <w:p w:rsidR="00C07EFC" w:rsidRDefault="00C07EFC" w:rsidP="00C07EFC">
      <w:pPr>
        <w:pStyle w:val="a5"/>
        <w:rPr>
          <w:rFonts w:ascii="Times New Roman" w:hAnsi="Times New Roman"/>
          <w:sz w:val="20"/>
        </w:rPr>
      </w:pPr>
    </w:p>
    <w:p w:rsidR="00C07EFC" w:rsidRDefault="00C07EFC" w:rsidP="00C07EFC">
      <w:pPr>
        <w:pStyle w:val="a5"/>
        <w:rPr>
          <w:rFonts w:ascii="Times New Roman" w:hAnsi="Times New Roman"/>
          <w:sz w:val="20"/>
        </w:rPr>
      </w:pPr>
    </w:p>
    <w:p w:rsidR="00C07EFC" w:rsidRPr="00544D73" w:rsidRDefault="00C07EFC" w:rsidP="00C07EFC">
      <w:pPr>
        <w:pStyle w:val="a5"/>
        <w:rPr>
          <w:rFonts w:ascii="Times New Roman" w:hAnsi="Times New Roman"/>
          <w:sz w:val="20"/>
        </w:rPr>
      </w:pPr>
      <w:r w:rsidRPr="00544D73">
        <w:rPr>
          <w:rFonts w:ascii="Times New Roman" w:hAnsi="Times New Roman"/>
          <w:sz w:val="20"/>
        </w:rPr>
        <w:t xml:space="preserve">Исп. </w:t>
      </w:r>
      <w:r>
        <w:rPr>
          <w:rFonts w:ascii="Times New Roman" w:hAnsi="Times New Roman"/>
          <w:sz w:val="20"/>
        </w:rPr>
        <w:t>Чувырина Н.А.</w:t>
      </w:r>
    </w:p>
    <w:p w:rsidR="00D33F6E" w:rsidRPr="00D33F6E" w:rsidRDefault="00D33F6E" w:rsidP="00D33F6E">
      <w:pPr>
        <w:spacing w:after="0" w:line="240" w:lineRule="auto"/>
        <w:rPr>
          <w:rFonts w:ascii="Liberation Serif" w:eastAsiaTheme="minorHAnsi" w:hAnsi="Liberation Serif" w:cs="Liberation Serif"/>
          <w:sz w:val="20"/>
          <w:szCs w:val="20"/>
        </w:rPr>
      </w:pPr>
      <w:r w:rsidRPr="00D33F6E">
        <w:rPr>
          <w:rFonts w:ascii="Liberation Serif" w:eastAsiaTheme="minorHAnsi" w:hAnsi="Liberation Serif" w:cs="Liberation Serif"/>
          <w:sz w:val="20"/>
          <w:szCs w:val="20"/>
        </w:rPr>
        <w:t xml:space="preserve">Тел. 4-04-80, </w:t>
      </w:r>
      <w:proofErr w:type="spellStart"/>
      <w:r w:rsidRPr="00D33F6E">
        <w:rPr>
          <w:rFonts w:ascii="Liberation Serif" w:eastAsiaTheme="minorHAnsi" w:hAnsi="Liberation Serif" w:cs="Liberation Serif"/>
          <w:sz w:val="20"/>
          <w:szCs w:val="20"/>
        </w:rPr>
        <w:t>вн</w:t>
      </w:r>
      <w:proofErr w:type="spellEnd"/>
      <w:r w:rsidRPr="00D33F6E">
        <w:rPr>
          <w:rFonts w:ascii="Liberation Serif" w:eastAsiaTheme="minorHAnsi" w:hAnsi="Liberation Serif" w:cs="Liberation Serif"/>
          <w:sz w:val="20"/>
          <w:szCs w:val="20"/>
        </w:rPr>
        <w:t>. 10-</w:t>
      </w:r>
      <w:r>
        <w:rPr>
          <w:rFonts w:ascii="Liberation Serif" w:eastAsiaTheme="minorHAnsi" w:hAnsi="Liberation Serif" w:cs="Liberation Serif"/>
          <w:sz w:val="20"/>
          <w:szCs w:val="20"/>
        </w:rPr>
        <w:t>39</w:t>
      </w:r>
      <w:bookmarkStart w:id="0" w:name="_GoBack"/>
      <w:bookmarkEnd w:id="0"/>
    </w:p>
    <w:p w:rsidR="00C07EFC" w:rsidRDefault="00C07EFC"/>
    <w:sectPr w:rsidR="00C07EFC" w:rsidSect="00C07E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4F03"/>
    <w:multiLevelType w:val="hybridMultilevel"/>
    <w:tmpl w:val="F6F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624E2"/>
    <w:multiLevelType w:val="hybridMultilevel"/>
    <w:tmpl w:val="3A14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A"/>
    <w:rsid w:val="0023116D"/>
    <w:rsid w:val="005049EA"/>
    <w:rsid w:val="00C07EFC"/>
    <w:rsid w:val="00D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413A-050B-4A95-8960-C64BCE4D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F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EFC"/>
    <w:pPr>
      <w:ind w:left="720"/>
      <w:contextualSpacing/>
    </w:pPr>
  </w:style>
  <w:style w:type="table" w:styleId="a4">
    <w:name w:val="Table Grid"/>
    <w:basedOn w:val="a1"/>
    <w:uiPriority w:val="59"/>
    <w:rsid w:val="00C07EF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07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EF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2075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3</cp:revision>
  <dcterms:created xsi:type="dcterms:W3CDTF">2022-04-01T08:42:00Z</dcterms:created>
  <dcterms:modified xsi:type="dcterms:W3CDTF">2022-04-01T08:47:00Z</dcterms:modified>
</cp:coreProperties>
</file>