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45531" w:rsidTr="00D45531">
        <w:trPr>
          <w:trHeight w:val="524"/>
        </w:trPr>
        <w:tc>
          <w:tcPr>
            <w:tcW w:w="9460" w:type="dxa"/>
            <w:gridSpan w:val="5"/>
            <w:hideMark/>
          </w:tcPr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5531" w:rsidRDefault="00D455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5531" w:rsidRDefault="00D455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0AF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5531" w:rsidTr="00D45531">
        <w:trPr>
          <w:trHeight w:val="524"/>
        </w:trPr>
        <w:tc>
          <w:tcPr>
            <w:tcW w:w="284" w:type="dxa"/>
            <w:vAlign w:val="bottom"/>
            <w:hideMark/>
          </w:tcPr>
          <w:p w:rsidR="00D45531" w:rsidRDefault="00D4553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30.06.2022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5531" w:rsidRDefault="00D455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5531" w:rsidTr="00D45531">
        <w:trPr>
          <w:trHeight w:val="130"/>
        </w:trPr>
        <w:tc>
          <w:tcPr>
            <w:tcW w:w="9460" w:type="dxa"/>
            <w:gridSpan w:val="5"/>
          </w:tcPr>
          <w:p w:rsidR="00D45531" w:rsidRDefault="00D4553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5531" w:rsidTr="00D45531">
        <w:tc>
          <w:tcPr>
            <w:tcW w:w="9460" w:type="dxa"/>
            <w:gridSpan w:val="5"/>
          </w:tcPr>
          <w:p w:rsidR="00D45531" w:rsidRPr="00D45531" w:rsidRDefault="00D45531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5531" w:rsidRPr="00D45531" w:rsidRDefault="00D455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45531" w:rsidRPr="00D45531" w:rsidRDefault="00D455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45531" w:rsidTr="00D45531">
        <w:tc>
          <w:tcPr>
            <w:tcW w:w="9460" w:type="dxa"/>
            <w:gridSpan w:val="5"/>
            <w:hideMark/>
          </w:tcPr>
          <w:p w:rsidR="00D45531" w:rsidRDefault="00D4553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D45531" w:rsidTr="00D45531">
        <w:tc>
          <w:tcPr>
            <w:tcW w:w="9460" w:type="dxa"/>
            <w:gridSpan w:val="5"/>
          </w:tcPr>
          <w:p w:rsidR="00D45531" w:rsidRDefault="00D455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5531" w:rsidRDefault="00D455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5531" w:rsidRDefault="00D45531" w:rsidP="00D4553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</w:t>
      </w:r>
      <w:r>
        <w:rPr>
          <w:rFonts w:ascii="Liberation Serif" w:hAnsi="Liberation Serif"/>
          <w:sz w:val="28"/>
          <w:szCs w:val="28"/>
        </w:rPr>
        <w:br/>
        <w:t xml:space="preserve">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28.04.2022 года № 48/1 «О внесении изменений в Решение Думы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городского округа Верхняя Пышма от 23 декабря 2021 года № 44/2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«О бюджете городского округа Верхняя Пышма на 2022 год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1,5 </w:t>
      </w:r>
      <w:r>
        <w:rPr>
          <w:rFonts w:ascii="Liberation Serif" w:hAnsi="Liberation Serif"/>
          <w:sz w:val="28"/>
          <w:szCs w:val="28"/>
        </w:rPr>
        <w:br/>
        <w:t xml:space="preserve">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в целях уточнения перечня 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D45531" w:rsidRDefault="00D45531" w:rsidP="00D4553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 до 2024 года»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 xml:space="preserve">а Верхняя Пышма от 30.09.2014 № 1708) </w:t>
      </w:r>
      <w:r>
        <w:rPr>
          <w:rFonts w:ascii="Liberation Serif" w:hAnsi="Liberation Serif"/>
          <w:color w:val="000000"/>
          <w:sz w:val="28"/>
          <w:szCs w:val="28"/>
        </w:rPr>
        <w:br/>
        <w:t>в редакции от 29.03.2022 № 300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««Объем финансирования муниципальной программы по годам реализации, рублей», изложить в следующей редакции:</w:t>
      </w: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45531" w:rsidRDefault="00D45531" w:rsidP="00D4553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990" w:type="pct"/>
        <w:tblInd w:w="1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48"/>
        <w:gridCol w:w="5450"/>
        <w:gridCol w:w="19"/>
      </w:tblGrid>
      <w:tr w:rsidR="00D45531" w:rsidTr="00D45531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31" w:rsidRDefault="00D4553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31" w:rsidRDefault="00D4553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Обьем финансирования </w:t>
            </w:r>
          </w:p>
          <w:p w:rsidR="00D45531" w:rsidRDefault="00D4553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 xml:space="preserve">Муниципальной программы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br/>
              <w:t>по годам реализации,</w:t>
            </w:r>
          </w:p>
          <w:p w:rsidR="00D45531" w:rsidRDefault="00D45531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31" w:rsidRDefault="00D45531">
            <w:pPr>
              <w:ind w:left="1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ВСЕГО: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20 121 360,5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1 772 360,1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1 508 307,0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1 867 714,6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2 361 442,4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2 661 359,6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4 386 591,9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1 667 579,0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620 791,2 тыс. рублей,</w:t>
            </w:r>
          </w:p>
          <w:p w:rsidR="00D45531" w:rsidRDefault="00D45531" w:rsidP="00476D05">
            <w:pPr>
              <w:numPr>
                <w:ilvl w:val="0"/>
                <w:numId w:val="1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590 069,5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8 642 783,0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763 899,94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359 661,8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764 899,4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818 870,3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1 093 820,8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2 241 876,0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1 305 935,58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393 819,2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400 000 тыс. рублей,</w:t>
            </w:r>
          </w:p>
          <w:p w:rsidR="00D45531" w:rsidRDefault="00D45531" w:rsidP="00476D05">
            <w:pPr>
              <w:numPr>
                <w:ilvl w:val="0"/>
                <w:numId w:val="2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500 000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год – 167 614,4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D45531" w:rsidRDefault="00D45531" w:rsidP="00476D0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год – 0,0 тыс. рублей,</w:t>
            </w:r>
          </w:p>
          <w:p w:rsidR="00D45531" w:rsidRDefault="00D45531" w:rsidP="00476D05">
            <w:pPr>
              <w:numPr>
                <w:ilvl w:val="0"/>
                <w:numId w:val="3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5531" w:rsidRDefault="00D45531" w:rsidP="00476D05">
            <w:pPr>
              <w:numPr>
                <w:ilvl w:val="0"/>
                <w:numId w:val="3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10 720 144,3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5531" w:rsidRDefault="00D45531" w:rsidP="00476D0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0" w:firstLine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 xml:space="preserve"> год – 658 581,0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1 379 209,53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–1 273 759,8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220 791,2 тыс. рублей,</w:t>
            </w:r>
          </w:p>
          <w:p w:rsidR="00D45531" w:rsidRDefault="00D45531" w:rsidP="00476D05">
            <w:pPr>
              <w:numPr>
                <w:ilvl w:val="0"/>
                <w:numId w:val="4"/>
              </w:numPr>
              <w:ind w:left="140" w:firstLine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90 069,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  тыс.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 тыс. рублей 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182 264,8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174 264,8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34 611,7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1 022,4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3 000,0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рублей,</w:t>
            </w:r>
          </w:p>
          <w:p w:rsidR="00D45531" w:rsidRDefault="00D45531" w:rsidP="00476D05">
            <w:pPr>
              <w:numPr>
                <w:ilvl w:val="0"/>
                <w:numId w:val="5"/>
              </w:numPr>
              <w:ind w:left="140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0,0 тыс. рублей</w:t>
            </w:r>
          </w:p>
          <w:p w:rsidR="00D45531" w:rsidRDefault="00D45531">
            <w:pPr>
              <w:ind w:left="140"/>
              <w:rPr>
                <w:rFonts w:ascii="Liberation Serif" w:hAnsi="Liberation Serif" w:cs="Liberation Serif"/>
                <w:noProof/>
                <w:color w:val="000000"/>
                <w:sz w:val="2"/>
                <w:szCs w:val="28"/>
                <w:u w:val="single"/>
              </w:rPr>
            </w:pPr>
          </w:p>
        </w:tc>
      </w:tr>
      <w:tr w:rsidR="00D45531" w:rsidTr="00D45531">
        <w:trPr>
          <w:gridAfter w:val="1"/>
          <w:wAfter w:w="10" w:type="pct"/>
          <w:trHeight w:val="1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531" w:rsidRDefault="00D4553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45531" w:rsidTr="00D45531">
        <w:trPr>
          <w:gridAfter w:val="1"/>
          <w:wAfter w:w="10" w:type="pct"/>
          <w:trHeight w:val="1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531" w:rsidRDefault="00D4553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45531" w:rsidTr="00D45531">
        <w:trPr>
          <w:gridAfter w:val="1"/>
          <w:wAfter w:w="10" w:type="pct"/>
          <w:trHeight w:val="1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531" w:rsidRDefault="00D4553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45531" w:rsidRDefault="00D45531" w:rsidP="00D45531">
      <w:pPr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D45531" w:rsidRDefault="00D45531" w:rsidP="00D4553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2</w:t>
      </w:r>
      <w:r>
        <w:rPr>
          <w:rFonts w:ascii="Liberation Serif" w:hAnsi="Liberation Serif"/>
          <w:sz w:val="28"/>
          <w:szCs w:val="28"/>
        </w:rPr>
        <w:t>) приложения № 1, № 2, № 3 к Программе изложить в новой редакции (прилагаются).</w:t>
      </w:r>
    </w:p>
    <w:p w:rsidR="00D45531" w:rsidRDefault="00D45531" w:rsidP="00D45531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https://movp.ru/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).</w:t>
      </w:r>
    </w:p>
    <w:p w:rsidR="00D45531" w:rsidRDefault="00D45531" w:rsidP="00D4553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D45531" w:rsidRDefault="00D45531" w:rsidP="00D4553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D45531" w:rsidRDefault="00D45531" w:rsidP="00D4553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45531" w:rsidTr="00D45531">
        <w:tc>
          <w:tcPr>
            <w:tcW w:w="6237" w:type="dxa"/>
            <w:vAlign w:val="bottom"/>
            <w:hideMark/>
          </w:tcPr>
          <w:p w:rsidR="00D45531" w:rsidRDefault="00D4553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5531" w:rsidRDefault="00D4553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45531" w:rsidRDefault="00D45531" w:rsidP="00D45531">
      <w:pPr>
        <w:pStyle w:val="ConsNormal"/>
        <w:widowControl/>
        <w:ind w:firstLine="0"/>
        <w:rPr>
          <w:rFonts w:ascii="Liberation Serif" w:hAnsi="Liberation Serif"/>
        </w:rPr>
      </w:pPr>
    </w:p>
    <w:p w:rsidR="00CF779F" w:rsidRDefault="00CF779F"/>
    <w:sectPr w:rsidR="00CF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3829AF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A3D0EBAE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F02C6CF0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1"/>
    <w:rsid w:val="00BE60B1"/>
    <w:rsid w:val="00CF779F"/>
    <w:rsid w:val="00D4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EB765-143A-46D6-9536-55EB451F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3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D4553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2022-06-30T10:57:00Z</dcterms:created>
  <dcterms:modified xsi:type="dcterms:W3CDTF">2022-06-30T10:58:00Z</dcterms:modified>
</cp:coreProperties>
</file>