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E168F" w:rsidTr="00AE168F">
        <w:trPr>
          <w:trHeight w:val="524"/>
        </w:trPr>
        <w:tc>
          <w:tcPr>
            <w:tcW w:w="9460" w:type="dxa"/>
            <w:gridSpan w:val="5"/>
            <w:hideMark/>
          </w:tcPr>
          <w:p w:rsidR="00AE168F" w:rsidRDefault="00AE16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168F" w:rsidRDefault="00AE16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E168F" w:rsidRDefault="00AE16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E168F" w:rsidRDefault="00AE16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54E0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168F" w:rsidTr="00AE168F">
        <w:trPr>
          <w:trHeight w:val="524"/>
        </w:trPr>
        <w:tc>
          <w:tcPr>
            <w:tcW w:w="284" w:type="dxa"/>
            <w:vAlign w:val="bottom"/>
            <w:hideMark/>
          </w:tcPr>
          <w:p w:rsidR="00AE168F" w:rsidRDefault="00AE168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168F" w:rsidRDefault="00AE16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E168F" w:rsidRDefault="00AE16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168F" w:rsidRDefault="00AE16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E168F" w:rsidRDefault="00AE16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E168F" w:rsidTr="00AE168F">
        <w:trPr>
          <w:trHeight w:val="130"/>
        </w:trPr>
        <w:tc>
          <w:tcPr>
            <w:tcW w:w="9460" w:type="dxa"/>
            <w:gridSpan w:val="5"/>
          </w:tcPr>
          <w:p w:rsidR="00AE168F" w:rsidRDefault="00AE168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E168F" w:rsidTr="00AE168F">
        <w:tc>
          <w:tcPr>
            <w:tcW w:w="9460" w:type="dxa"/>
            <w:gridSpan w:val="5"/>
          </w:tcPr>
          <w:p w:rsidR="00AE168F" w:rsidRDefault="00AE168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E168F" w:rsidRDefault="00AE16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E168F" w:rsidRDefault="00AE16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E168F" w:rsidTr="00AE168F">
        <w:tc>
          <w:tcPr>
            <w:tcW w:w="9460" w:type="dxa"/>
            <w:gridSpan w:val="5"/>
            <w:hideMark/>
          </w:tcPr>
          <w:p w:rsidR="00AE168F" w:rsidRDefault="00AE168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AE168F" w:rsidTr="00AE168F">
        <w:tc>
          <w:tcPr>
            <w:tcW w:w="9460" w:type="dxa"/>
            <w:gridSpan w:val="5"/>
          </w:tcPr>
          <w:p w:rsidR="00AE168F" w:rsidRDefault="00AE16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E168F" w:rsidRDefault="00AE16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168F" w:rsidRDefault="00AE168F" w:rsidP="00AE16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Решением Думы городского округа Верхняя Пышма от 27.10.2022 № 54/1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AE168F" w:rsidRDefault="00AE168F" w:rsidP="00AE168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E168F" w:rsidRDefault="00AE168F" w:rsidP="00AE16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23.09.2022 № 1175) (далее – Программа), следующие изменения:</w:t>
      </w:r>
    </w:p>
    <w:p w:rsidR="00AE168F" w:rsidRDefault="00AE168F" w:rsidP="00AE16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AE168F" w:rsidRDefault="00AE168F" w:rsidP="00AE16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6126"/>
      </w:tblGrid>
      <w:tr w:rsidR="00AE168F" w:rsidTr="00AE168F">
        <w:trPr>
          <w:trHeight w:val="36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</w:rPr>
              <w:t>Обьем финансирования</w:t>
            </w:r>
          </w:p>
        </w:tc>
        <w:tc>
          <w:tcPr>
            <w:tcW w:w="612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ВСЕГО:</w:t>
            </w:r>
          </w:p>
        </w:tc>
      </w:tr>
      <w:tr w:rsidR="00AE168F" w:rsidTr="00AE168F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</w:rPr>
              <w:t>муниципальной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639 911,6 тыс. рублей</w:t>
            </w:r>
          </w:p>
        </w:tc>
      </w:tr>
      <w:tr w:rsidR="00AE168F" w:rsidTr="00AE168F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</w:rPr>
              <w:t>программы по годам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в том числе:</w:t>
            </w:r>
          </w:p>
        </w:tc>
      </w:tr>
      <w:tr w:rsidR="00AE168F" w:rsidTr="00AE168F">
        <w:trPr>
          <w:trHeight w:val="195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</w:rPr>
              <w:lastRenderedPageBreak/>
              <w:t>реализации, тыс. рублей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2019 год - 33 399,9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2020 год - 42 712,0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2021 год - 312 411,0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2022 год - 192 994,5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2023 год - 29 058,3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2024 год - 29 335,9 тыс. рублей</w:t>
            </w:r>
          </w:p>
        </w:tc>
      </w:tr>
      <w:tr w:rsidR="00AE168F" w:rsidTr="00AE168F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68F" w:rsidRDefault="00AE168F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из них:</w:t>
            </w:r>
          </w:p>
        </w:tc>
      </w:tr>
      <w:tr w:rsidR="00AE168F" w:rsidTr="00AE168F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68F" w:rsidRDefault="00AE168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</w:rPr>
            </w:pPr>
            <w:r>
              <w:rPr>
                <w:rStyle w:val="CharacterStyle10"/>
                <w:rFonts w:ascii="Liberation Serif" w:eastAsia="Calibri" w:hAnsi="Liberation Serif" w:cs="Liberation Serif"/>
              </w:rPr>
              <w:t>местный бюджет</w:t>
            </w:r>
          </w:p>
        </w:tc>
      </w:tr>
      <w:tr w:rsidR="00AE168F" w:rsidTr="00AE168F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68F" w:rsidRDefault="00AE168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>639 911,6 тыс. рублей</w:t>
            </w:r>
          </w:p>
        </w:tc>
      </w:tr>
      <w:tr w:rsidR="00AE168F" w:rsidTr="00AE168F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68F" w:rsidRDefault="00AE168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</w:rPr>
              <w:t>в том числе:</w:t>
            </w:r>
          </w:p>
        </w:tc>
      </w:tr>
      <w:tr w:rsidR="00AE168F" w:rsidTr="00AE168F">
        <w:trPr>
          <w:trHeight w:val="1995"/>
        </w:trPr>
        <w:tc>
          <w:tcPr>
            <w:tcW w:w="3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168F" w:rsidRDefault="00AE168F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AE168F" w:rsidRDefault="00AE168F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2019 год - 33 399,9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2020 год - 42 712,0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2021 год - 312 411,0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2022 год - 192 994,5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2023 год - 29 058,3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>2024 год - 29 335,9 тыс. рублей</w:t>
            </w:r>
          </w:p>
        </w:tc>
      </w:tr>
    </w:tbl>
    <w:p w:rsidR="00AE168F" w:rsidRDefault="00AE168F" w:rsidP="00AE168F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168F" w:rsidRDefault="00AE168F" w:rsidP="00AE168F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Приложения № 1, 2 к Программе изложить в новой редакции (прилагаются).</w:t>
      </w:r>
    </w:p>
    <w:p w:rsidR="00AE168F" w:rsidRDefault="00AE168F" w:rsidP="00AE168F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AE168F" w:rsidRDefault="00AE168F" w:rsidP="00AE168F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E168F" w:rsidTr="00AE168F">
        <w:tc>
          <w:tcPr>
            <w:tcW w:w="6237" w:type="dxa"/>
            <w:vAlign w:val="bottom"/>
          </w:tcPr>
          <w:p w:rsidR="00AE168F" w:rsidRDefault="00AE168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E168F" w:rsidRDefault="00AE168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E168F" w:rsidRDefault="00AE168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E168F" w:rsidRDefault="00AE168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E168F" w:rsidRDefault="00AE168F" w:rsidP="00AE168F">
      <w:pPr>
        <w:pStyle w:val="ConsNormal"/>
        <w:widowControl/>
        <w:ind w:firstLine="0"/>
        <w:rPr>
          <w:rFonts w:ascii="Liberation Serif" w:hAnsi="Liberation Serif"/>
        </w:rPr>
      </w:pPr>
    </w:p>
    <w:p w:rsidR="004952FA" w:rsidRDefault="004952FA">
      <w:pPr>
        <w:sectPr w:rsidR="004952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4952FA" w:rsidRPr="002F0A33" w:rsidTr="0088115C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2FA" w:rsidRDefault="004952FA" w:rsidP="0088115C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2F0A33">
              <w:rPr>
                <w:rFonts w:ascii="Liberation Serif" w:hAnsi="Liberation Serif" w:cs="Arial"/>
                <w:sz w:val="20"/>
                <w:szCs w:val="20"/>
              </w:rPr>
              <w:t xml:space="preserve">Приложение № 1 к муниципальной программе </w:t>
            </w:r>
          </w:p>
          <w:p w:rsidR="004952FA" w:rsidRDefault="004952FA" w:rsidP="0088115C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2F0A33">
              <w:rPr>
                <w:rFonts w:ascii="Liberation Serif" w:hAnsi="Liberation Serif" w:cs="Arial"/>
                <w:sz w:val="20"/>
                <w:szCs w:val="20"/>
              </w:rPr>
              <w:t>«Повышение эффективности управления муниципальной</w:t>
            </w:r>
          </w:p>
          <w:p w:rsidR="004952FA" w:rsidRDefault="004952FA" w:rsidP="0088115C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2F0A33">
              <w:rPr>
                <w:rFonts w:ascii="Liberation Serif" w:hAnsi="Liberation Serif" w:cs="Arial"/>
                <w:sz w:val="20"/>
                <w:szCs w:val="20"/>
              </w:rPr>
              <w:t xml:space="preserve"> собственностью на территории городского округа</w:t>
            </w:r>
          </w:p>
          <w:p w:rsidR="004952FA" w:rsidRPr="002F0A33" w:rsidRDefault="004952FA" w:rsidP="0088115C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2F0A33">
              <w:rPr>
                <w:rFonts w:ascii="Liberation Serif" w:hAnsi="Liberation Serif" w:cs="Arial"/>
                <w:sz w:val="20"/>
                <w:szCs w:val="20"/>
              </w:rPr>
              <w:t xml:space="preserve"> Верхняя Пышма до 2024 года»</w:t>
            </w:r>
          </w:p>
        </w:tc>
      </w:tr>
      <w:tr w:rsidR="004952FA" w:rsidRPr="002F0A33" w:rsidTr="0088115C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0A33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4952FA" w:rsidRPr="002F0A33" w:rsidTr="0088115C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4952FA" w:rsidRPr="002F0A33" w:rsidTr="0088115C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4952FA" w:rsidRPr="002F0A33" w:rsidRDefault="004952FA" w:rsidP="004952F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952FA" w:rsidRPr="002F0A33" w:rsidTr="0088115C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952FA" w:rsidRPr="002F0A33" w:rsidRDefault="004952FA" w:rsidP="004952F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952FA" w:rsidRPr="002F0A33" w:rsidTr="0088115C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4952FA" w:rsidRPr="002F0A33" w:rsidTr="0088115C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952FA" w:rsidRPr="002F0A33" w:rsidTr="0088115C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952FA" w:rsidRPr="002F0A33" w:rsidTr="0088115C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952FA" w:rsidRPr="002F0A33" w:rsidTr="0088115C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lastRenderedPageBreak/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952FA" w:rsidRPr="002F0A33" w:rsidTr="0088115C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4952FA" w:rsidRPr="002F0A33" w:rsidTr="0088115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объектов, по которым произведены мероприятия по обслуживанию и сохранности муниципального имущества (том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952FA" w:rsidRPr="002F0A33" w:rsidTr="0088115C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952FA" w:rsidRPr="002F0A33" w:rsidTr="0088115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FA" w:rsidRPr="002F0A33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4952FA" w:rsidRPr="002F0A33" w:rsidRDefault="004952FA" w:rsidP="004952FA">
      <w:pPr>
        <w:rPr>
          <w:rFonts w:ascii="Liberation Serif" w:hAnsi="Liberation Serif"/>
        </w:rPr>
      </w:pPr>
    </w:p>
    <w:p w:rsidR="001A377E" w:rsidRDefault="001A377E"/>
    <w:p w:rsidR="004952FA" w:rsidRDefault="004952FA"/>
    <w:p w:rsidR="004952FA" w:rsidRDefault="004952FA"/>
    <w:p w:rsidR="004952FA" w:rsidRDefault="004952FA"/>
    <w:p w:rsidR="004952FA" w:rsidRDefault="004952FA"/>
    <w:p w:rsidR="004952FA" w:rsidRDefault="004952FA"/>
    <w:p w:rsidR="004952FA" w:rsidRDefault="004952FA"/>
    <w:p w:rsidR="004952FA" w:rsidRDefault="004952FA"/>
    <w:p w:rsidR="004952FA" w:rsidRDefault="004952FA"/>
    <w:p w:rsidR="004952FA" w:rsidRDefault="004952FA"/>
    <w:p w:rsidR="004952FA" w:rsidRDefault="004952FA"/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65"/>
        <w:gridCol w:w="172"/>
        <w:gridCol w:w="236"/>
        <w:gridCol w:w="236"/>
        <w:gridCol w:w="236"/>
        <w:gridCol w:w="1461"/>
        <w:gridCol w:w="1457"/>
        <w:gridCol w:w="1456"/>
        <w:gridCol w:w="1456"/>
        <w:gridCol w:w="1456"/>
        <w:gridCol w:w="1456"/>
        <w:gridCol w:w="1365"/>
        <w:gridCol w:w="1365"/>
        <w:gridCol w:w="1844"/>
      </w:tblGrid>
      <w:tr w:rsidR="004952FA" w:rsidRPr="002D5CED" w:rsidTr="0088115C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2FA" w:rsidRDefault="004952FA" w:rsidP="0088115C">
            <w:pPr>
              <w:tabs>
                <w:tab w:val="left" w:pos="7420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2D5CED">
              <w:rPr>
                <w:rFonts w:ascii="Liberation Serif" w:hAnsi="Liberation Serif" w:cs="Arial"/>
                <w:sz w:val="20"/>
                <w:szCs w:val="20"/>
              </w:rPr>
              <w:t>Приложение № 2 к муниципальной программе</w:t>
            </w:r>
          </w:p>
          <w:p w:rsidR="004952FA" w:rsidRDefault="004952FA" w:rsidP="0088115C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2D5CED">
              <w:rPr>
                <w:rFonts w:ascii="Liberation Serif" w:hAnsi="Liberation Serif" w:cs="Arial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D5CED">
              <w:rPr>
                <w:rFonts w:ascii="Liberation Serif" w:hAnsi="Liberation Serif" w:cs="Arial"/>
                <w:sz w:val="20"/>
                <w:szCs w:val="20"/>
              </w:rPr>
              <w:t xml:space="preserve">«Повышение эффективности управления муниципальной </w:t>
            </w:r>
          </w:p>
          <w:p w:rsidR="004952FA" w:rsidRDefault="004952FA" w:rsidP="0088115C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2D5CED">
              <w:rPr>
                <w:rFonts w:ascii="Liberation Serif" w:hAnsi="Liberation Serif" w:cs="Arial"/>
                <w:sz w:val="20"/>
                <w:szCs w:val="20"/>
              </w:rPr>
              <w:t>собственностью на территории городского округа</w:t>
            </w:r>
          </w:p>
          <w:p w:rsidR="004952FA" w:rsidRPr="002D5CED" w:rsidRDefault="004952FA" w:rsidP="0088115C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2D5CED">
              <w:rPr>
                <w:rFonts w:ascii="Liberation Serif" w:hAnsi="Liberation Serif" w:cs="Arial"/>
                <w:sz w:val="20"/>
                <w:szCs w:val="20"/>
              </w:rPr>
              <w:t xml:space="preserve"> Верхняя Пышма до 2024 года»</w:t>
            </w:r>
          </w:p>
        </w:tc>
      </w:tr>
      <w:tr w:rsidR="004952FA" w:rsidRPr="002D5CED" w:rsidTr="0088115C">
        <w:trPr>
          <w:trHeight w:val="510"/>
        </w:trPr>
        <w:tc>
          <w:tcPr>
            <w:tcW w:w="149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D5CED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952FA" w:rsidRPr="002D5CED" w:rsidTr="0088115C">
        <w:trPr>
          <w:trHeight w:val="285"/>
        </w:trPr>
        <w:tc>
          <w:tcPr>
            <w:tcW w:w="149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D5CED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952FA" w:rsidRPr="002D5CED" w:rsidTr="0088115C">
        <w:trPr>
          <w:trHeight w:val="510"/>
        </w:trPr>
        <w:tc>
          <w:tcPr>
            <w:tcW w:w="149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52FA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D5CED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  <w:tr w:rsidR="004952FA" w:rsidRPr="002D5CED" w:rsidTr="0088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55"/>
        </w:trPr>
        <w:tc>
          <w:tcPr>
            <w:tcW w:w="772" w:type="dxa"/>
            <w:gridSpan w:val="4"/>
            <w:vMerge w:val="restart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41" w:type="dxa"/>
            <w:gridSpan w:val="5"/>
            <w:vMerge w:val="restart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11" w:type="dxa"/>
            <w:gridSpan w:val="7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952FA" w:rsidRPr="002D5CED" w:rsidTr="0088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25"/>
        </w:trPr>
        <w:tc>
          <w:tcPr>
            <w:tcW w:w="772" w:type="dxa"/>
            <w:gridSpan w:val="4"/>
            <w:vMerge/>
            <w:vAlign w:val="center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gridSpan w:val="5"/>
            <w:vMerge/>
            <w:vAlign w:val="center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3" w:type="dxa"/>
            <w:vMerge/>
            <w:vAlign w:val="center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952FA" w:rsidRPr="002D5CED" w:rsidRDefault="004952FA" w:rsidP="004952FA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2341"/>
        <w:gridCol w:w="1457"/>
        <w:gridCol w:w="1456"/>
        <w:gridCol w:w="1456"/>
        <w:gridCol w:w="1456"/>
        <w:gridCol w:w="1456"/>
        <w:gridCol w:w="1365"/>
        <w:gridCol w:w="1365"/>
        <w:gridCol w:w="1843"/>
      </w:tblGrid>
      <w:tr w:rsidR="004952FA" w:rsidRPr="002D5CED" w:rsidTr="0088115C">
        <w:trPr>
          <w:cantSplit/>
          <w:trHeight w:val="255"/>
          <w:tblHeader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4952FA" w:rsidRPr="002D5CED" w:rsidTr="0088115C">
        <w:trPr>
          <w:cantSplit/>
          <w:trHeight w:val="1020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639 911,60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33 399,90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42 712,00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312 411,00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192 994,50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639 911,60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33 399,90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42 712,00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312 411,00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192 994,50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156 867,30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19 419,40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20 851,50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26 166,70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32 035,50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156 867,30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19 419,40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26 166,70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32 035,50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3570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501 402,60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19 072,50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25 768,20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290 949,80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163 670,70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501 402,60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19 072,50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25 768,20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290 949,80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163 670,70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479 173,20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17 989,40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479 173,20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17 989,40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18 358,30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5 092,00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3 907,70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4 705,50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2 711,70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18 358,30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5 092,00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3 907,70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4 705,50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2 711,70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0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9 413,40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4 012,80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2 041,80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1 286,00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9 413,40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4 012,80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1 500,80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2 041,80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1 286,00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286,00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286,00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331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установку</w:t>
            </w:r>
            <w:proofErr w:type="gram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4 788,90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820,90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1 079,70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479,70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4 788,90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1 023,80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820,90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905,10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1 079,70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479,70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479,70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1 296,20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1 296,20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205,00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335,20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346,00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205,00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205,00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178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113,40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239,80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55,40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71,00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113,40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040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2 620,00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2 620,00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5100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4952FA" w:rsidRPr="002D5CED" w:rsidRDefault="004952FA" w:rsidP="0088115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2040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134 075,20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16 898,90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18 752,90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28 005,80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27 909,70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28 180,50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134 075,20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16 898,90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18 752,90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28 005,80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27 909,70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28 180,50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952FA" w:rsidRPr="002D5CED" w:rsidTr="0088115C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341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4 433,80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44,90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1 318,00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177,90</w:t>
            </w:r>
          </w:p>
        </w:tc>
        <w:tc>
          <w:tcPr>
            <w:tcW w:w="1365" w:type="dxa"/>
            <w:shd w:val="clear" w:color="000000" w:fill="FFFFFF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184,70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4952FA" w:rsidRPr="002D5CED" w:rsidTr="0088115C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341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4 433,80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44,90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2 708,30</w:t>
            </w:r>
          </w:p>
        </w:tc>
        <w:tc>
          <w:tcPr>
            <w:tcW w:w="1456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1 318,00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177,90</w:t>
            </w:r>
          </w:p>
        </w:tc>
        <w:tc>
          <w:tcPr>
            <w:tcW w:w="1365" w:type="dxa"/>
            <w:shd w:val="clear" w:color="auto" w:fill="auto"/>
            <w:hideMark/>
          </w:tcPr>
          <w:p w:rsidR="004952FA" w:rsidRPr="002D5CED" w:rsidRDefault="004952FA" w:rsidP="0088115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184,70</w:t>
            </w:r>
          </w:p>
        </w:tc>
        <w:tc>
          <w:tcPr>
            <w:tcW w:w="1843" w:type="dxa"/>
            <w:shd w:val="clear" w:color="auto" w:fill="auto"/>
            <w:hideMark/>
          </w:tcPr>
          <w:p w:rsidR="004952FA" w:rsidRPr="002D5CED" w:rsidRDefault="004952FA" w:rsidP="0088115C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4952FA" w:rsidRPr="002D5CED" w:rsidRDefault="004952FA" w:rsidP="004952FA">
      <w:pPr>
        <w:rPr>
          <w:rFonts w:ascii="Liberation Serif" w:hAnsi="Liberation Serif"/>
        </w:rPr>
      </w:pPr>
    </w:p>
    <w:p w:rsidR="004952FA" w:rsidRDefault="004952FA">
      <w:bookmarkStart w:id="0" w:name="_GoBack"/>
      <w:bookmarkEnd w:id="0"/>
    </w:p>
    <w:sectPr w:rsidR="004952FA" w:rsidSect="000F475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6"/>
    <w:rsid w:val="001A377E"/>
    <w:rsid w:val="004952FA"/>
    <w:rsid w:val="00AE168F"/>
    <w:rsid w:val="00E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DAFD3-9844-452B-B896-E43E855A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E16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AE168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AE168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AE168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AE168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AE168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AE168F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AE168F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AE168F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AE168F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2022-11-24T06:27:00Z</dcterms:created>
  <dcterms:modified xsi:type="dcterms:W3CDTF">2022-11-24T06:31:00Z</dcterms:modified>
</cp:coreProperties>
</file>