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11E" w:rsidRDefault="005B511E" w:rsidP="005B511E">
      <w:pPr>
        <w:rPr>
          <w:rFonts w:cs="Times New Roman"/>
        </w:rPr>
      </w:pPr>
    </w:p>
    <w:p w:rsidR="005B511E" w:rsidRDefault="005B511E" w:rsidP="005B511E">
      <w:pPr>
        <w:pageBreakBefore/>
        <w:jc w:val="center"/>
        <w:rPr>
          <w:rFonts w:cs="Times New Roman"/>
        </w:rPr>
      </w:pPr>
    </w:p>
    <w:p w:rsidR="005B511E" w:rsidRDefault="005B511E" w:rsidP="005B511E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Администрация городского округа Верхняя Пышма</w:t>
      </w:r>
    </w:p>
    <w:p w:rsidR="005B511E" w:rsidRDefault="005B511E" w:rsidP="005B511E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Комитет экономики и муниципального заказа</w:t>
      </w:r>
    </w:p>
    <w:p w:rsidR="005B511E" w:rsidRDefault="005B511E" w:rsidP="005B511E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Отдел прогнозирования и мониторинга социального-экономического развития</w:t>
      </w:r>
    </w:p>
    <w:p w:rsidR="005B511E" w:rsidRDefault="005B511E" w:rsidP="005B511E">
      <w:pPr>
        <w:jc w:val="center"/>
        <w:rPr>
          <w:rFonts w:cs="Times New Roman"/>
          <w:lang w:val="ru-RU"/>
        </w:rPr>
      </w:pPr>
    </w:p>
    <w:p w:rsidR="005B511E" w:rsidRDefault="005B511E" w:rsidP="005B511E">
      <w:pPr>
        <w:jc w:val="center"/>
        <w:rPr>
          <w:rFonts w:cs="Times New Roman"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ИТОГИ</w:t>
      </w:r>
    </w:p>
    <w:p w:rsidR="005B511E" w:rsidRDefault="005B511E" w:rsidP="005B511E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СОЦИАЛЬНО-ЭКОНОМИЧЕСКОГО РАЗВИТИЯ</w:t>
      </w:r>
    </w:p>
    <w:p w:rsidR="005B511E" w:rsidRDefault="005B511E" w:rsidP="005B511E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ГОРОДСКОГО ОКРУГА ВЕРХНЯЯ ПЫШМА</w:t>
      </w:r>
    </w:p>
    <w:p w:rsidR="005B511E" w:rsidRDefault="005B511E" w:rsidP="005B511E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ЗА ЯНВАРЬ-СЕНТЯБРЬ 2022 ГОДА</w:t>
      </w: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spacing w:after="160" w:line="249" w:lineRule="auto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3675F4" w:rsidRDefault="003675F4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rPr>
          <w:rFonts w:cs="Times New Roman"/>
          <w:b/>
          <w:bCs/>
          <w:lang w:val="ru-RU"/>
        </w:rPr>
      </w:pPr>
    </w:p>
    <w:p w:rsidR="005B511E" w:rsidRDefault="005B511E" w:rsidP="005B511E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ВЕРХНЯЯ ПЫШМА</w:t>
      </w:r>
    </w:p>
    <w:p w:rsidR="005B511E" w:rsidRDefault="005B511E" w:rsidP="005B511E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2022 год</w:t>
      </w:r>
    </w:p>
    <w:p w:rsidR="005B511E" w:rsidRDefault="005B511E" w:rsidP="005B511E">
      <w:pPr>
        <w:jc w:val="center"/>
        <w:rPr>
          <w:rFonts w:cs="Times New Roman"/>
          <w:lang w:val="ru-RU"/>
        </w:rPr>
      </w:pPr>
    </w:p>
    <w:p w:rsidR="003675F4" w:rsidRDefault="003675F4" w:rsidP="005B511E">
      <w:pPr>
        <w:jc w:val="center"/>
        <w:rPr>
          <w:rFonts w:cs="Times New Roman"/>
          <w:lang w:val="ru-RU"/>
        </w:rPr>
      </w:pPr>
    </w:p>
    <w:p w:rsidR="003675F4" w:rsidRDefault="003675F4" w:rsidP="005B511E">
      <w:pPr>
        <w:jc w:val="center"/>
        <w:rPr>
          <w:rFonts w:cs="Times New Roman"/>
          <w:lang w:val="ru-RU"/>
        </w:rPr>
      </w:pPr>
    </w:p>
    <w:p w:rsidR="003675F4" w:rsidRDefault="003675F4" w:rsidP="005B511E">
      <w:pPr>
        <w:jc w:val="center"/>
        <w:rPr>
          <w:rFonts w:cs="Times New Roman"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Основные показатели* социально-экономического положения</w:t>
      </w:r>
    </w:p>
    <w:p w:rsidR="005B511E" w:rsidRDefault="005B511E" w:rsidP="005B511E">
      <w:pPr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городского округа Верхняя Пышма за январь – </w:t>
      </w:r>
      <w:r w:rsidR="00684FF0">
        <w:rPr>
          <w:rFonts w:cs="Times New Roman"/>
          <w:b/>
          <w:lang w:val="ru-RU"/>
        </w:rPr>
        <w:t xml:space="preserve">сентябрь </w:t>
      </w:r>
      <w:r>
        <w:rPr>
          <w:rFonts w:cs="Times New Roman"/>
          <w:b/>
          <w:lang w:val="ru-RU"/>
        </w:rPr>
        <w:t>2022 года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4888"/>
        <w:gridCol w:w="1417"/>
        <w:gridCol w:w="1559"/>
        <w:gridCol w:w="1560"/>
      </w:tblGrid>
      <w:tr w:rsidR="005B511E" w:rsidTr="00684FF0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11E" w:rsidRDefault="005B511E" w:rsidP="005B51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11E" w:rsidRDefault="005B511E" w:rsidP="005B51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11E" w:rsidRDefault="005B511E" w:rsidP="005B51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Январь – сентябрь 2022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1E" w:rsidRDefault="005B511E" w:rsidP="005B51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Январь – сентябрь 2021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1E" w:rsidRDefault="005B511E" w:rsidP="005B51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Темп роста % (снижения)</w:t>
            </w:r>
          </w:p>
        </w:tc>
      </w:tr>
      <w:tr w:rsidR="00907FCD" w:rsidRPr="005B511E" w:rsidTr="00684FF0">
        <w:trPr>
          <w:trHeight w:val="525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Численность постоянного населения, человек,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90 210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88 159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102,3</w:t>
            </w:r>
          </w:p>
        </w:tc>
      </w:tr>
      <w:tr w:rsidR="00907FCD" w:rsidTr="00684FF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городского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76 389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74 262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102,8</w:t>
            </w:r>
          </w:p>
        </w:tc>
      </w:tr>
      <w:tr w:rsidR="00907FCD" w:rsidTr="00684FF0">
        <w:trPr>
          <w:trHeight w:val="23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сельского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13 821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13 897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99,4</w:t>
            </w:r>
          </w:p>
        </w:tc>
      </w:tr>
      <w:tr w:rsidR="00907FCD" w:rsidTr="00684FF0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Рождаемость,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800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91,25</w:t>
            </w:r>
          </w:p>
        </w:tc>
      </w:tr>
      <w:tr w:rsidR="00907FCD" w:rsidTr="00684FF0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Смертность, человек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84,6</w:t>
            </w:r>
          </w:p>
        </w:tc>
      </w:tr>
      <w:tr w:rsidR="00907FCD" w:rsidTr="00684FF0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Естественный прирост населения, человек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-68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-143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х</w:t>
            </w:r>
          </w:p>
        </w:tc>
      </w:tr>
      <w:tr w:rsidR="00907FCD" w:rsidRPr="003675F4" w:rsidTr="00684FF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Коэффициент естественного движения населения на 1 000 человек населения: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 w:rsidR="00907FCD" w:rsidTr="00684FF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родившихся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E63722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E0C09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12,1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F24243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82,2</w:t>
            </w:r>
          </w:p>
        </w:tc>
      </w:tr>
      <w:tr w:rsidR="00907FCD" w:rsidTr="00684FF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умерших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E63722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E0C09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14,3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F24243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82,5</w:t>
            </w:r>
          </w:p>
        </w:tc>
      </w:tr>
      <w:tr w:rsidR="00907FCD" w:rsidTr="00684FF0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Число прибывших,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2 941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3 057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96,2</w:t>
            </w:r>
          </w:p>
        </w:tc>
      </w:tr>
      <w:tr w:rsidR="00907FCD" w:rsidTr="00684FF0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Число выбывших, человек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1 570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1 440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109</w:t>
            </w:r>
            <w:r w:rsidR="00F2424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,02</w:t>
            </w:r>
          </w:p>
        </w:tc>
      </w:tr>
      <w:tr w:rsidR="00907FCD" w:rsidTr="00684FF0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Миграционный прирост, человек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1 371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1 617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84,7</w:t>
            </w:r>
          </w:p>
        </w:tc>
      </w:tr>
      <w:tr w:rsidR="00907FCD" w:rsidTr="00684FF0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Браков,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108,7</w:t>
            </w:r>
          </w:p>
        </w:tc>
      </w:tr>
      <w:tr w:rsidR="00907FCD" w:rsidTr="00684FF0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Разводов,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72,7</w:t>
            </w:r>
          </w:p>
        </w:tc>
      </w:tr>
      <w:tr w:rsidR="00907FCD" w:rsidTr="00684FF0">
        <w:trPr>
          <w:trHeight w:val="60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50" w:rsidRDefault="005A1450" w:rsidP="006C0E8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E63722" w:rsidP="006C0E8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22</w:t>
            </w:r>
            <w:r w:rsidR="005A1450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 </w:t>
            </w:r>
            <w:r w:rsidR="006C0E8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50" w:rsidRDefault="005A1450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22</w:t>
            </w:r>
            <w:r w:rsidR="005A1450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50" w:rsidRDefault="005A1450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A71C3E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99,5</w:t>
            </w:r>
          </w:p>
        </w:tc>
      </w:tr>
      <w:tr w:rsidR="00907FCD" w:rsidTr="00684FF0">
        <w:trPr>
          <w:trHeight w:val="46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6C0E8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70 </w:t>
            </w:r>
            <w:r w:rsidR="006C0E8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65 074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108,7</w:t>
            </w:r>
          </w:p>
        </w:tc>
      </w:tr>
      <w:tr w:rsidR="00907FCD" w:rsidTr="00684FF0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Уровень зарегистрированной безработицы, 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74,6</w:t>
            </w:r>
          </w:p>
        </w:tc>
      </w:tr>
      <w:tr w:rsidR="00907FCD" w:rsidTr="00684FF0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Численность безработных граждан, человек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A71C3E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77,9</w:t>
            </w:r>
          </w:p>
        </w:tc>
      </w:tr>
      <w:tr w:rsidR="00907FCD" w:rsidTr="00684FF0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Количество вакансий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694B61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1 029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A71C3E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82,4</w:t>
            </w:r>
          </w:p>
        </w:tc>
      </w:tr>
      <w:tr w:rsidR="00907FCD" w:rsidTr="00684FF0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Численность принятых работников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6C0E8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5 </w:t>
            </w:r>
            <w:r w:rsidR="00A71C3E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6C7334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4 698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F24243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110,3</w:t>
            </w:r>
          </w:p>
        </w:tc>
      </w:tr>
      <w:tr w:rsidR="00907FCD" w:rsidRPr="00E63722" w:rsidTr="00684FF0">
        <w:trPr>
          <w:trHeight w:val="42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6C0E88" w:rsidP="00694B6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2 236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E0C09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F24243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99,5</w:t>
            </w:r>
          </w:p>
        </w:tc>
      </w:tr>
      <w:tr w:rsidR="00907FCD" w:rsidRPr="00E63722" w:rsidTr="00684FF0">
        <w:trPr>
          <w:trHeight w:val="71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6C0E8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3 026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E0C09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2741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F24243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110,3</w:t>
            </w:r>
          </w:p>
        </w:tc>
      </w:tr>
      <w:tr w:rsidR="00907FCD" w:rsidTr="00684FF0">
        <w:trPr>
          <w:trHeight w:val="1126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Оборот организаций (без субъектов малого предпринимательства и организаций, средняя численность работников, которых не превышает 15 человек), тыс. рублей, </w:t>
            </w:r>
          </w:p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28" w:rsidRDefault="004B222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4B2228" w:rsidRDefault="004B222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407 686</w:t>
            </w:r>
            <w:r w:rsidR="004B222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28" w:rsidRDefault="004B222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4B2228" w:rsidRDefault="004B222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376 480</w:t>
            </w:r>
            <w:r w:rsidR="005A1450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50" w:rsidRDefault="005A1450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5A1450" w:rsidRDefault="005A1450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108,2</w:t>
            </w:r>
          </w:p>
        </w:tc>
      </w:tr>
      <w:tr w:rsidR="00907FCD" w:rsidTr="00684FF0">
        <w:trPr>
          <w:trHeight w:val="249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обрабатывающие производства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346 700 084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A71C3E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318</w:t>
            </w:r>
            <w:r w:rsidR="00907FCD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319 396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A71C3E" w:rsidP="00A71C3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108,9</w:t>
            </w:r>
          </w:p>
        </w:tc>
      </w:tr>
      <w:tr w:rsidR="00907FCD" w:rsidRPr="005B511E" w:rsidTr="00684FF0">
        <w:trPr>
          <w:trHeight w:val="422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1 439 609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1 104 476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A71C3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</w:t>
            </w:r>
            <w:r w:rsidR="00A71C3E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30,3</w:t>
            </w:r>
          </w:p>
        </w:tc>
      </w:tr>
      <w:tr w:rsidR="00907FCD" w:rsidRPr="005B511E" w:rsidTr="00684FF0">
        <w:trPr>
          <w:trHeight w:val="565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торговля оптовая и розничная; ремонт автотранспортных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15 084 277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26 491 566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56,9</w:t>
            </w:r>
          </w:p>
        </w:tc>
      </w:tr>
      <w:tr w:rsidR="00907FCD" w:rsidRPr="005B511E" w:rsidTr="00684FF0">
        <w:trPr>
          <w:trHeight w:val="41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работников, которых не превышает 15 человек), тыс. рублей,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28" w:rsidRDefault="004B222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4B2228" w:rsidRDefault="004B222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907FCD" w:rsidP="004B222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320 758 968,4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28" w:rsidRDefault="004B2228" w:rsidP="004B222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E0C09" w:rsidRDefault="009E0C09" w:rsidP="004B222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A71C3E" w:rsidP="009E0C0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305</w:t>
            </w:r>
            <w:r w:rsidR="009E0C09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099</w:t>
            </w:r>
            <w:r w:rsidR="009E0C09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45</w:t>
            </w:r>
            <w:r w:rsidR="009E0C09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0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50" w:rsidRDefault="005A1450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5A1450" w:rsidRDefault="005A1450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6C7334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105,1</w:t>
            </w:r>
          </w:p>
        </w:tc>
      </w:tr>
      <w:tr w:rsidR="00907FCD" w:rsidTr="00684FF0">
        <w:trPr>
          <w:trHeight w:val="28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lastRenderedPageBreak/>
              <w:t>21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обрабатывающие производства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289 637 753,2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A71C3E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282362833,6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6C7334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102,5</w:t>
            </w:r>
          </w:p>
        </w:tc>
      </w:tr>
      <w:tr w:rsidR="00907FCD" w:rsidRPr="00E134B9" w:rsidTr="00684FF0">
        <w:trPr>
          <w:trHeight w:val="26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Pr="00E134B9" w:rsidRDefault="00907FCD" w:rsidP="00907FCD">
            <w:pPr>
              <w:suppressAutoHyphens w:val="0"/>
              <w:jc w:val="both"/>
              <w:textAlignment w:val="auto"/>
              <w:rPr>
                <w:lang w:val="ru-RU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Инвестиции в основной капитал 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Calibri" w:cs="Liberation Serif"/>
                <w:i/>
                <w:kern w:val="0"/>
                <w:sz w:val="22"/>
                <w:szCs w:val="22"/>
                <w:lang w:val="ru-RU" w:eastAsia="en-US" w:bidi="ar-SA"/>
              </w:rPr>
              <w:t>(без субъектов СМСП)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, 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6C0E8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4 482 451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E0C09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3 381 556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6C7334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132,5</w:t>
            </w:r>
          </w:p>
        </w:tc>
      </w:tr>
      <w:tr w:rsidR="00907FCD" w:rsidTr="00684FF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Pr="00E134B9" w:rsidRDefault="00907FCD" w:rsidP="00907FCD">
            <w:pPr>
              <w:suppressAutoHyphens w:val="0"/>
              <w:jc w:val="both"/>
              <w:textAlignment w:val="auto"/>
              <w:rPr>
                <w:lang w:val="ru-RU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Ввод в действие жилых домов, м</w:t>
            </w:r>
            <w:r>
              <w:rPr>
                <w:rFonts w:eastAsia="Calibri" w:cs="Liberation Serif"/>
                <w:kern w:val="0"/>
                <w:sz w:val="22"/>
                <w:szCs w:val="22"/>
                <w:vertAlign w:val="superscript"/>
                <w:lang w:val="ru-RU" w:eastAsia="en-US" w:bidi="ar-SA"/>
              </w:rPr>
              <w:t>2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,</w:t>
            </w:r>
          </w:p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в том числе: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78 227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129 761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60,2</w:t>
            </w:r>
          </w:p>
        </w:tc>
      </w:tr>
      <w:tr w:rsidR="00907FCD" w:rsidRPr="005B511E" w:rsidTr="00684FF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за счет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44 185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44 548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99,2</w:t>
            </w:r>
          </w:p>
        </w:tc>
      </w:tr>
      <w:tr w:rsidR="00907FCD" w:rsidRPr="005B511E" w:rsidTr="00684FF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за счет многоквартирного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34 042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85 213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39,9</w:t>
            </w:r>
          </w:p>
        </w:tc>
      </w:tr>
      <w:tr w:rsidR="00907FCD" w:rsidRPr="005B511E" w:rsidTr="00684FF0">
        <w:trPr>
          <w:trHeight w:val="12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88" w:rsidRDefault="006C0E88" w:rsidP="006C0E8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6C0E88" w:rsidRDefault="006C0E88" w:rsidP="006C0E8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6C0E88" w:rsidRDefault="006C0E88" w:rsidP="006C0E8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6C0E88" w:rsidP="006C0E8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18 572 868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28" w:rsidRDefault="004B222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4B2228" w:rsidRDefault="004B222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4B2228" w:rsidRDefault="004B222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37 173</w:t>
            </w:r>
            <w:r w:rsidR="005A1450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672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50" w:rsidRDefault="005A1450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5A1450" w:rsidRDefault="005A1450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5A1450" w:rsidRDefault="005A1450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A71C3E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49,9</w:t>
            </w:r>
          </w:p>
        </w:tc>
      </w:tr>
      <w:tr w:rsidR="00907FCD" w:rsidRPr="005B511E" w:rsidTr="00684FF0">
        <w:trPr>
          <w:trHeight w:val="1102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Дебиторская задолженность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6C0E88" w:rsidRDefault="006C0E8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6C0E88" w:rsidRDefault="006C0E88" w:rsidP="006C0E8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104 735 131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28" w:rsidRDefault="004B222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4B2228" w:rsidRDefault="004B222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6C7334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97 138</w:t>
            </w:r>
            <w:r w:rsidR="005A1450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</w:t>
            </w:r>
            <w:r w:rsidR="00907FCD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50" w:rsidRDefault="005A1450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5A1450" w:rsidRDefault="005A1450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6C7334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107,8</w:t>
            </w:r>
          </w:p>
        </w:tc>
      </w:tr>
      <w:tr w:rsidR="00907FCD" w:rsidTr="007373A9">
        <w:trPr>
          <w:trHeight w:val="358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в том числе просроченная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6C0E8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258 267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115 738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FCD" w:rsidRDefault="003675F4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↑</w:t>
            </w:r>
            <w:r w:rsidR="005A1450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в 2,2 раза</w:t>
            </w:r>
          </w:p>
        </w:tc>
      </w:tr>
      <w:tr w:rsidR="00907FCD" w:rsidRPr="005B511E" w:rsidTr="007373A9">
        <w:trPr>
          <w:trHeight w:val="1181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88" w:rsidRDefault="006C0E8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6C0E88" w:rsidRDefault="006C0E8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6C0E8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68 539 228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28" w:rsidRDefault="004B222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4B2228" w:rsidRDefault="004B222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907FCD" w:rsidP="004B222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82 810</w:t>
            </w:r>
            <w:r w:rsidR="005A1450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450" w:rsidRDefault="005A1450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5A1450" w:rsidRDefault="005A1450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907FCD" w:rsidRDefault="00A71C3E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82,7</w:t>
            </w:r>
          </w:p>
        </w:tc>
      </w:tr>
      <w:tr w:rsidR="00907FCD" w:rsidTr="007373A9">
        <w:trPr>
          <w:trHeight w:val="348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в том числе просроченная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6C0E88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205 691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34 839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FCD" w:rsidRDefault="003675F4" w:rsidP="005A145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↑</w:t>
            </w:r>
            <w:r w:rsidR="00F2424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в 5,9 раза</w:t>
            </w:r>
          </w:p>
        </w:tc>
      </w:tr>
      <w:tr w:rsidR="00907FCD" w:rsidRPr="00883B12" w:rsidTr="00684FF0">
        <w:trPr>
          <w:trHeight w:val="271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Ввод объектов потребительского рынка на 01.10.2022, из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E651A7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94,1</w:t>
            </w:r>
          </w:p>
        </w:tc>
      </w:tr>
      <w:tr w:rsidR="00907FCD" w:rsidRPr="00883B12" w:rsidTr="00684FF0">
        <w:trPr>
          <w:trHeight w:val="307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магазины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E651A7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85,7</w:t>
            </w:r>
          </w:p>
        </w:tc>
      </w:tr>
      <w:tr w:rsidR="00907FCD" w:rsidRPr="00883B12" w:rsidTr="00684FF0">
        <w:trPr>
          <w:trHeight w:val="215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предприятия бытового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E651A7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</w:tr>
      <w:tr w:rsidR="00907FCD" w:rsidRPr="00883B12" w:rsidTr="00684FF0">
        <w:trPr>
          <w:trHeight w:val="25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объекты общественного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E651A7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75</w:t>
            </w:r>
          </w:p>
        </w:tc>
      </w:tr>
      <w:tr w:rsidR="00907FCD" w:rsidRPr="00E63722" w:rsidTr="00684FF0">
        <w:trPr>
          <w:trHeight w:val="51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FCD" w:rsidRDefault="00907FCD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FCD" w:rsidRDefault="00907FCD" w:rsidP="00907FC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Индексы потребительских цен (тарифов) на товары и услуги,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6C7334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100,05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9E0C09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100,6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CD" w:rsidRDefault="006C7334" w:rsidP="00907F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х</w:t>
            </w:r>
          </w:p>
        </w:tc>
      </w:tr>
      <w:tr w:rsidR="006E745D" w:rsidTr="00B070C8">
        <w:trPr>
          <w:trHeight w:val="51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45D" w:rsidRPr="00B67812" w:rsidRDefault="006E745D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 w:rsidRPr="00B67812">
              <w:rPr>
                <w:rFonts w:eastAsia="Calibri" w:cs="Liberation Serif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45D" w:rsidRPr="00B070C8" w:rsidRDefault="006E745D" w:rsidP="006E745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B070C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Оборот розничной торговли, 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45D" w:rsidRPr="00B070C8" w:rsidRDefault="00F274BD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B070C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9 174 852,6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45D" w:rsidRPr="00B070C8" w:rsidRDefault="00F274BD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B070C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7 756 814,2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45D" w:rsidRPr="00B070C8" w:rsidRDefault="006C7334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B070C8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118,2</w:t>
            </w:r>
          </w:p>
        </w:tc>
      </w:tr>
      <w:tr w:rsidR="006E745D" w:rsidTr="00B070C8">
        <w:trPr>
          <w:trHeight w:val="51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45D" w:rsidRPr="00B67812" w:rsidRDefault="006E745D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 w:rsidRPr="00B67812">
              <w:rPr>
                <w:rFonts w:eastAsia="Calibri" w:cs="Liberation Serif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45D" w:rsidRPr="00B070C8" w:rsidRDefault="006E745D" w:rsidP="006E745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B070C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Оборот общественного питания, 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45D" w:rsidRPr="00B070C8" w:rsidRDefault="00F274BD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B070C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167 237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45D" w:rsidRPr="00B070C8" w:rsidRDefault="00F274BD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B070C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155</w:t>
            </w:r>
            <w:r w:rsidR="00DB1C52" w:rsidRPr="00B070C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 </w:t>
            </w:r>
            <w:r w:rsidRPr="00B070C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45D" w:rsidRPr="00B070C8" w:rsidRDefault="00DB1C52" w:rsidP="006C7334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B070C8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  <w:r w:rsidR="006C7334" w:rsidRPr="00B070C8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07,2</w:t>
            </w:r>
          </w:p>
        </w:tc>
      </w:tr>
      <w:tr w:rsidR="006E745D" w:rsidRPr="003675F4" w:rsidTr="00684FF0">
        <w:trPr>
          <w:trHeight w:val="26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45D" w:rsidRDefault="004B2228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45D" w:rsidRPr="00B070C8" w:rsidRDefault="006E745D" w:rsidP="006E745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B070C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Рейтинг (место) МО по показателям: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Pr="00B070C8" w:rsidRDefault="006E745D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Pr="00B070C8" w:rsidRDefault="006E745D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Pr="00B070C8" w:rsidRDefault="006E745D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 w:rsidR="006E745D" w:rsidTr="00684FF0">
        <w:trPr>
          <w:trHeight w:val="31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45D" w:rsidRDefault="004B2228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45D" w:rsidRDefault="006E745D" w:rsidP="006E745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коэффициент рождаемости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Default="00E651A7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Default="00E651A7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13-14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Default="004B2228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х</w:t>
            </w:r>
          </w:p>
        </w:tc>
      </w:tr>
      <w:tr w:rsidR="006E745D" w:rsidTr="00684FF0">
        <w:trPr>
          <w:trHeight w:val="27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45D" w:rsidRDefault="004B2228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45D" w:rsidRDefault="006E745D" w:rsidP="006E745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коэффициент смертности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Default="00E651A7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Default="00E651A7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Default="004B2228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х</w:t>
            </w:r>
          </w:p>
        </w:tc>
      </w:tr>
      <w:tr w:rsidR="006E745D" w:rsidTr="00684FF0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45D" w:rsidRDefault="004B2228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45D" w:rsidRDefault="006E745D" w:rsidP="006E745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коэффициент естественного прироста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Default="00E651A7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Default="00E651A7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Default="004B2228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х</w:t>
            </w:r>
          </w:p>
        </w:tc>
      </w:tr>
      <w:tr w:rsidR="006E745D" w:rsidTr="00684FF0">
        <w:trPr>
          <w:trHeight w:val="26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45D" w:rsidRDefault="004B2228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45D" w:rsidRDefault="006E745D" w:rsidP="006E745D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оборот организаций, 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Default="00E651A7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Default="00E651A7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E745D" w:rsidRDefault="004B2228" w:rsidP="006E7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х</w:t>
            </w:r>
          </w:p>
        </w:tc>
      </w:tr>
    </w:tbl>
    <w:p w:rsidR="005B511E" w:rsidRPr="00E134B9" w:rsidRDefault="005B511E" w:rsidP="005B511E">
      <w:pPr>
        <w:jc w:val="both"/>
        <w:rPr>
          <w:lang w:val="ru-RU"/>
        </w:rPr>
      </w:pPr>
      <w:r>
        <w:rPr>
          <w:rFonts w:cs="Liberation Serif"/>
          <w:sz w:val="22"/>
          <w:szCs w:val="22"/>
          <w:lang w:val="ru-RU"/>
        </w:rPr>
        <w:t>* Данные предоставлены управлением Федеральной службы государственной статистик</w:t>
      </w:r>
      <w:r w:rsidR="009F7318">
        <w:rPr>
          <w:rFonts w:cs="Liberation Serif"/>
          <w:kern w:val="0"/>
          <w:sz w:val="22"/>
          <w:szCs w:val="22"/>
          <w:lang w:val="ru-RU"/>
        </w:rPr>
        <w:t>и</w:t>
      </w:r>
      <w:r>
        <w:rPr>
          <w:rFonts w:cs="Times New Roman"/>
          <w:lang w:val="ru-RU"/>
        </w:rPr>
        <w:t xml:space="preserve"> по Свердловской области и Курганской области</w:t>
      </w:r>
    </w:p>
    <w:p w:rsidR="005B511E" w:rsidRDefault="005B511E" w:rsidP="005B511E">
      <w:pPr>
        <w:rPr>
          <w:lang w:val="ru-RU"/>
        </w:rPr>
      </w:pPr>
    </w:p>
    <w:p w:rsidR="005B511E" w:rsidRDefault="005B511E" w:rsidP="005B511E">
      <w:pPr>
        <w:pStyle w:val="Standard"/>
        <w:rPr>
          <w:lang w:val="ru-RU"/>
        </w:rPr>
      </w:pPr>
    </w:p>
    <w:p w:rsidR="00390861" w:rsidRPr="005B511E" w:rsidRDefault="00390861">
      <w:pPr>
        <w:rPr>
          <w:lang w:val="ru-RU"/>
        </w:rPr>
      </w:pPr>
    </w:p>
    <w:sectPr w:rsidR="00390861" w:rsidRPr="005B511E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1E"/>
    <w:rsid w:val="000645F7"/>
    <w:rsid w:val="00275E02"/>
    <w:rsid w:val="003675F4"/>
    <w:rsid w:val="00390861"/>
    <w:rsid w:val="004B2228"/>
    <w:rsid w:val="005A1450"/>
    <w:rsid w:val="005B511E"/>
    <w:rsid w:val="00684FF0"/>
    <w:rsid w:val="00694B61"/>
    <w:rsid w:val="006C0E88"/>
    <w:rsid w:val="006C7334"/>
    <w:rsid w:val="006E745D"/>
    <w:rsid w:val="007373A9"/>
    <w:rsid w:val="00883B12"/>
    <w:rsid w:val="00907FCD"/>
    <w:rsid w:val="009E0C09"/>
    <w:rsid w:val="009F7318"/>
    <w:rsid w:val="00A71C3E"/>
    <w:rsid w:val="00AF57BB"/>
    <w:rsid w:val="00B070C8"/>
    <w:rsid w:val="00C971F8"/>
    <w:rsid w:val="00DB1C52"/>
    <w:rsid w:val="00E63722"/>
    <w:rsid w:val="00E651A7"/>
    <w:rsid w:val="00F24243"/>
    <w:rsid w:val="00F2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ED882-034C-45E0-8C2F-E0F8935A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11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511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694B61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B61"/>
    <w:rPr>
      <w:rFonts w:ascii="Segoe UI" w:eastAsia="SimSun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8CF83-F714-44B0-96D3-8B440DCE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Отто Елена Анатольевна</cp:lastModifiedBy>
  <cp:revision>11</cp:revision>
  <cp:lastPrinted>2022-11-29T05:51:00Z</cp:lastPrinted>
  <dcterms:created xsi:type="dcterms:W3CDTF">2022-11-29T03:09:00Z</dcterms:created>
  <dcterms:modified xsi:type="dcterms:W3CDTF">2022-12-05T10:33:00Z</dcterms:modified>
</cp:coreProperties>
</file>