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898"/>
        <w:gridCol w:w="438"/>
        <w:gridCol w:w="584"/>
        <w:gridCol w:w="6529"/>
      </w:tblGrid>
      <w:tr w:rsidR="00E56B9A" w:rsidTr="00E56B9A">
        <w:trPr>
          <w:trHeight w:val="524"/>
        </w:trPr>
        <w:tc>
          <w:tcPr>
            <w:tcW w:w="9460" w:type="dxa"/>
            <w:gridSpan w:val="5"/>
            <w:hideMark/>
          </w:tcPr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56B9A" w:rsidRDefault="00E56B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56B9A" w:rsidRDefault="00E56B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5E4C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56B9A" w:rsidTr="00E56B9A">
        <w:trPr>
          <w:trHeight w:val="524"/>
        </w:trPr>
        <w:tc>
          <w:tcPr>
            <w:tcW w:w="284" w:type="dxa"/>
            <w:vAlign w:val="bottom"/>
            <w:hideMark/>
          </w:tcPr>
          <w:p w:rsidR="00E56B9A" w:rsidRDefault="00E56B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56B9A" w:rsidRDefault="00E56B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56B9A" w:rsidTr="00E56B9A">
        <w:trPr>
          <w:trHeight w:val="130"/>
        </w:trPr>
        <w:tc>
          <w:tcPr>
            <w:tcW w:w="9460" w:type="dxa"/>
            <w:gridSpan w:val="5"/>
          </w:tcPr>
          <w:p w:rsidR="00E56B9A" w:rsidRDefault="00E56B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56B9A" w:rsidTr="00E56B9A">
        <w:tc>
          <w:tcPr>
            <w:tcW w:w="9460" w:type="dxa"/>
            <w:gridSpan w:val="5"/>
          </w:tcPr>
          <w:p w:rsidR="00E56B9A" w:rsidRDefault="00E56B9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56B9A" w:rsidRDefault="00E56B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56B9A" w:rsidRDefault="00E56B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56B9A" w:rsidTr="00E56B9A">
        <w:tc>
          <w:tcPr>
            <w:tcW w:w="9460" w:type="dxa"/>
            <w:gridSpan w:val="5"/>
            <w:hideMark/>
          </w:tcPr>
          <w:p w:rsidR="00E56B9A" w:rsidRDefault="00E56B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прогноз социально-экономического развития городского округа Верхняя Пышма на 2023 год и плановый период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2024 и 2025 годов</w:t>
            </w:r>
          </w:p>
        </w:tc>
      </w:tr>
      <w:tr w:rsidR="00E56B9A" w:rsidTr="00E56B9A">
        <w:tc>
          <w:tcPr>
            <w:tcW w:w="9460" w:type="dxa"/>
            <w:gridSpan w:val="5"/>
          </w:tcPr>
          <w:p w:rsidR="00E56B9A" w:rsidRDefault="00E56B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56B9A" w:rsidRDefault="00E56B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 Бюджетным кодексом Российской Федерации, Федеральным законом от 28 июня 2014 года № 172-ФЗ «О стратегическом планировании в Российской Федерации», Законом Свердловской области </w:t>
      </w:r>
      <w:r>
        <w:rPr>
          <w:rFonts w:ascii="Liberation Serif" w:hAnsi="Liberation Serif"/>
          <w:sz w:val="28"/>
        </w:rPr>
        <w:br/>
        <w:t xml:space="preserve">от 15 июня 2015 года № 45-ОЗ «О стратегическом планировании в Российской Федерации, осуществляемом на территории Свердловской области»,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</w:rPr>
        <w:br/>
        <w:t>от 30 мая 2014 года № 922 «О порядке разработки прогноза социально-экономического развития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E56B9A" w:rsidRDefault="00E56B9A" w:rsidP="00E56B9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 Внести изменения в прогноз социально-экономического развития городского округа Верхняя Пышма на 2023 год и плановый период 2024 и 2025 годов, утвержденный постановлением администрации городского округа Верхняя Пышма от 11.11.2022 № 1362, изложив в новой редакции (прилагается).</w:t>
      </w:r>
    </w:p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 Направить прогноз социально-экономического развития городского округа Верхняя Пышма на 2023 год и плановый период 2024 и 2025 годов в Думу городского округа Верхняя Пышма в составе документов, вносимых одновременно с проектом Решения о бюджете городского округа Верхняя Пышма на 2023 год и плановый период 2024 и 2025 годов.</w:t>
      </w:r>
    </w:p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56B9A" w:rsidRDefault="00E56B9A" w:rsidP="00E56B9A">
      <w:pPr>
        <w:suppressAutoHyphens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56B9A" w:rsidRDefault="00E56B9A" w:rsidP="00E56B9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2"/>
        <w:gridCol w:w="3443"/>
      </w:tblGrid>
      <w:tr w:rsidR="00E56B9A" w:rsidTr="00E56B9A">
        <w:tc>
          <w:tcPr>
            <w:tcW w:w="6237" w:type="dxa"/>
            <w:vAlign w:val="bottom"/>
            <w:hideMark/>
          </w:tcPr>
          <w:p w:rsidR="00E56B9A" w:rsidRDefault="00E56B9A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56B9A" w:rsidRDefault="00E56B9A">
            <w:pPr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И.В. Соломин</w:t>
            </w:r>
          </w:p>
        </w:tc>
      </w:tr>
    </w:tbl>
    <w:p w:rsidR="00E56B9A" w:rsidRDefault="00E56B9A" w:rsidP="00E56B9A">
      <w:pPr>
        <w:pStyle w:val="ConsNormal"/>
        <w:widowControl/>
        <w:ind w:firstLine="0"/>
        <w:rPr>
          <w:rFonts w:ascii="Liberation Serif" w:hAnsi="Liberation Serif"/>
        </w:rPr>
        <w:sectPr w:rsidR="00E56B9A" w:rsidSect="00E56B9A">
          <w:pgSz w:w="11906" w:h="16838"/>
          <w:pgMar w:top="1134" w:right="567" w:bottom="1134" w:left="1474" w:header="709" w:footer="709" w:gutter="0"/>
          <w:cols w:space="708"/>
          <w:docGrid w:linePitch="360"/>
        </w:sect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74"/>
        <w:gridCol w:w="1011"/>
        <w:gridCol w:w="1245"/>
        <w:gridCol w:w="1246"/>
        <w:gridCol w:w="1294"/>
        <w:gridCol w:w="1245"/>
        <w:gridCol w:w="1246"/>
        <w:gridCol w:w="2853"/>
      </w:tblGrid>
      <w:tr w:rsidR="00E56B9A" w:rsidT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 w:rsidP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Приложение к постановлению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 w:rsidT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 w:rsidP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администрации городского округа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 w:rsidT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 w:rsidP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от_______________№_________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 w:rsidTr="00E56B9A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6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Основные показатели, представляемые для разработки прогноза развития муниципального образования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 w:rsidT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830" w:type="dxa"/>
            <w:gridSpan w:val="3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Территория:  Городской округ Верхняя Пышма</w:t>
            </w:r>
          </w:p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Источник данных: Данные муниципальных образований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6" w:space="0" w:color="C0C0C0"/>
              <w:right w:val="nil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Отчет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Оценка 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Прогноз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Пояснения</w:t>
            </w: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I. Финансы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Доходы, всего (стр. 1.12 + стр. 1.13)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8 735,57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8 131,97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8 311,21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8 588,38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7 806,30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1.1.Прибыль прибыльных организаций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46 727,65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1 180,42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2 116,24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2 449,09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2 581,19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2022-2025 годы без данных АО "УРАЛЭЛЕКТРОМЕДЬ" и ОАО "УГМК"</w:t>
            </w: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1.2. Амортизационные отчисления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1 182,68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1 131,22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1 135,01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1 141,52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1 149,36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1.3. Налог на доходы физических лиц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2 369,80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2 920,70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3 068,30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3 221,70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3 366,70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1.4. Единый налог на вмененный доход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8,04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1.4.1 налоговая база (сумма исчисленного вмененного дохода)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102,07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1.5. Налог с патентной системы налогообложения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14,61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13,90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14,98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15,95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16,80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1.6. Земельный налог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126,32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102,27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118,88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118,88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118,88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1.7. Единый сельскохозяйственный налог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0,11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0,29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0,22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0,23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0,24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1.7.1. налоговая база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4,02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10,60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8,04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8,41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8,76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1.8. Налог на имущество физических лиц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40,79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61,01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74,45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75,94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81,25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1.9. Прочие налоги и сборы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1 399,40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1 320,80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1 323,40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1 336,60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1 363,40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1.10. Неналоговые доходы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326,40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255,40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190,76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193,94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198,64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1.11. Прочие доходы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319,50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1.12. Итого доходов (сумма строк 1.3, 1.4, 1.5, 1.6, 1.7, 1.8, 1.9, 1.10, 1.11)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4 604,97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4 733,37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4 790,99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4 963,23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5 145,90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1.13. Средства, получаемые от вышестоящих уровней власти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4 130,60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3 398,60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3 520,22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3 625,15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2 660,40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2. Финансирование муниципальных программ (справочно)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6 932,10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6 771,42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5 273,80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5 341,90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4 440,50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1236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3. Недополученные доходы муниципальных образований от предоставления налоговых преференций, предусмотренных решениями органов местного самоуправления (справочно):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3.1. Земельный налог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22,62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3.2. Налог на имущество физических лиц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II. Производственная деятельность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Оборот организаций (по полному кругу) по видам экономической деятельности*, всего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507 398,30</w:t>
            </w:r>
          </w:p>
        </w:tc>
        <w:tc>
          <w:tcPr>
            <w:tcW w:w="124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476 994,00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171 626,97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175 434,29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180 009,04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2023-2025 годы без данных  предприятий АО "УРАЛЭЛЕКТРОМЕДЬ" и ОАО "УГМК"</w:t>
            </w: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1.1. Сельское хозяйство, охота и лесное хозяйство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1.2. Добыча полезных ископаемых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1.3. Обрабатывающие производства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408 731,20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449 604,10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63 204,00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64 380,30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65 713,57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1.4. Обеспечение электрической энергией, газом и паром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1 380,05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1 379,91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1 425,74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1 440,14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1 486,22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1.5. Cтроительство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1.6. Оптовая и розничная торговля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50,77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51,65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51,78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51,97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52,85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1.7. Транспортировка и хранение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1.8. Деятельность в области информации и связи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III. Инвестиционная деятельность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Объем инвестиций в основной капитал за счет всех источников финансирования, всего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6 827,40</w:t>
            </w:r>
          </w:p>
        </w:tc>
        <w:tc>
          <w:tcPr>
            <w:tcW w:w="124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5 248,16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3 335,34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2 134,78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1 308,13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2023-2025 годы без данных предприятий АО "УРАЛЭЛЕКТРОМЕДЬ" и ОАО "УГМК"</w:t>
            </w: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из них по отраслям экономики: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1.1. Сельское хозяйство, охота и лесное хозяйство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1.2. Добыча полезных ископаемых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1.3. Обрабатывающие производства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2 822,08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2 528,32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2 374,67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384,25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409,63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1.4. Обеспечение электрической энергией, газом и паром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173,64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155,00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165,00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1.5. Строительство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1.6. Оптовая и розничная торговля, сфера услуг и развлечений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76,98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75,00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1.7 Транспортировка и хранение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1 103,31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353,69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1.8. Деятельность в области информации и связи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IV. Денежные доходы населения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Доходы населения муниципального образования, всего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34 810,19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29 830,80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31 633,50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33 120,17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34 568,56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1.1. Доходы от предпринимательской деятельности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9 463,95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4 482,50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4 527,30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4 527,30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4 618,30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1.2. Оплата труда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18 916,65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18 661,60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20 154,50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21 363,77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22 431,96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1.3. Социальные выплаты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6 429,60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6 686,70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6 951,70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7 229,10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7 518,30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 Среднедушевые денежные доходы (в месяц)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руб./чел.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38 587,95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32 420,55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33 705,73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34 597,84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35 402,64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3. Номинальная начисленная среднемесячная заработная плата работников по полному кругу организаций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руб. в месяц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70 173,00</w:t>
            </w:r>
          </w:p>
        </w:tc>
        <w:tc>
          <w:tcPr>
            <w:tcW w:w="124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69 807,00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74 135,03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78 731,41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82 825,44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V. Потребительский рынок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Оборот розничной торговли в ценах соответствующего периода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10 791,60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12 404,40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12 441,61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12 802,42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13 045,67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 Оборот общественного питания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млн.руб.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219,60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222,98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225,21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226,34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227,47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VI. Демографические показатели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Численность и состав населения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1.1. Численность постоянного населения муниципального образования (на начало года)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90 210,00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92 012,00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93 852,00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95 729,00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97 644,00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1.2. Среднегодовая численность населения муниципального образования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88 927,00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90 038,00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91 155,00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92 522,00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93 447,00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1.3. Численность детей в возрасте 3-7 лет (дошкольного возраста)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6 635,00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6 349,00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5 979,00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5 551,00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5 335,00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1.4. Численность детей и подростков в возрасте 8-17 лет (школьного возраста)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11 692,00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12 155,00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12 590,00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12 954,00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13 036,00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1.5. Численность населения в трудоспособном возрасте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49 866,00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51 026,00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51 824,00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53 652,00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55 089,00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1.6. Численность населения старше трудоспособного возраста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18 676,00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17 996,00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17 316,00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16 636,00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15 956,00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2. Естественное движение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2.1. Число родившихся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1 085,00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1 106,00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1 123,00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1 140,00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1 157,00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2.2. Число умерших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1 343,00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1 289,00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1 250,00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1 225,00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1 213,00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VII. Развитие социальной сферы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Количество учащихся общеобразовательных учреждений, обучающихся во вторую и третью смены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3 935,00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3 935,00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3 935,00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1 200,00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1 200,00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 Обеспеченность населения врачами, оказывающими медицинскую помощь в амбулаторных условиях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ед. на 10 тыс. чел. населения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2,90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1236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3. Обеспеченность средними медицинскими работниками, работающими в государственных и муниципальных медицинских организациях медицинским персоналом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ед. на 10 тыс. чел. населения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4,80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4,80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4,80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4,80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4,80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4. Доля детей в возрасте от 5 до 18 лет, охваченных дополнительным образованием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5. Доступность дошкольного образования для детей в возрасте от полутора до трех лет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VIII. Трудовые ресурсы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1. Среднесписочная численность работников (без внешних совместителей) по полному кругу организаций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22 464,00</w:t>
            </w:r>
          </w:p>
        </w:tc>
        <w:tc>
          <w:tcPr>
            <w:tcW w:w="124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22 489,00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22 601,45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22 669,25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22 895,94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2. Среднегодовая численность занятых в разрезе ОКВЭД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Сельское, лесное хозяйство, охота, рыболовство и рыбоводство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Добыча полезных ископаемых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Обрабатывающие производства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9 887,00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9 725,00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9 531,00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9 323,00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9 201,00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644,00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613,00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542,00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666,00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Строительство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Торговля оптовая и розничная; ремонт автотранспортных средств и мотоциклов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1 951,00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2 341,00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2 599,00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2 884,00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3 202,00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Транспортировка и хранение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798,00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814,00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814,00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гостиниц и предприятий общественного питания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331,00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341,00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информации и связи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568,00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финансовая и страховая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95,00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77,00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по операциям с недвижимым имуществом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101,00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107,00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профессиональная, научная и техническая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115,00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109,00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613,00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602,00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572,00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543,00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1 301,00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1 294,00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1 268,00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1 217,00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1 169,00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3 047,00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3 077,00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3 108,00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3 139,00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3 170,00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здравоохранения и социальных услуг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1 431,00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1 448,00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1 491,00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1 536,00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1 582,00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772,00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782,00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798,00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814,00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Прочие виды экономической деятельности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из них: численность иностранных трудовых мигрантов, в разрезе ОКВЭД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Сельское, лесное хозяйство, охота, рыболовство и рыбоводство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Добыча полезных ископаемых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Обрабатывающие производства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Строительство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Транспортировка и хранение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гостиниц и предприятий общественного питания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информации и связи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финансовая и страховая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по операциям с недвижимым имуществом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профессиональная, научная и техническая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здравоохранения и социальных услуг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  <w:tr w:rsidR="00E56B9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5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Прочие виды экономической деятельности</w:t>
            </w:r>
          </w:p>
        </w:tc>
        <w:tc>
          <w:tcPr>
            <w:tcW w:w="101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4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E56B9A" w:rsidRDefault="00E56B9A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56B9A" w:rsidRDefault="00E56B9A" w:rsidP="00E56B9A">
      <w:pPr>
        <w:pStyle w:val="ConsNormal"/>
        <w:widowControl/>
        <w:ind w:firstLine="0"/>
        <w:rPr>
          <w:rFonts w:ascii="Liberation Serif" w:hAnsi="Liberation Serif"/>
        </w:rPr>
      </w:pPr>
    </w:p>
    <w:p w:rsidR="0044340B" w:rsidRDefault="0044340B">
      <w:pPr>
        <w:sectPr w:rsidR="0044340B" w:rsidSect="00E56B9A">
          <w:pgSz w:w="16838" w:h="11906" w:orient="landscape"/>
          <w:pgMar w:top="1474" w:right="1134" w:bottom="567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9"/>
        <w:gridCol w:w="4326"/>
      </w:tblGrid>
      <w:tr w:rsidR="0044340B" w:rsidRPr="00110D09" w:rsidTr="00D241D6">
        <w:tc>
          <w:tcPr>
            <w:tcW w:w="5211" w:type="dxa"/>
            <w:shd w:val="clear" w:color="auto" w:fill="auto"/>
          </w:tcPr>
          <w:p w:rsidR="0044340B" w:rsidRPr="00110D09" w:rsidRDefault="0044340B" w:rsidP="00D241D6">
            <w:pPr>
              <w:pStyle w:val="a3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44340B" w:rsidRPr="00110D09" w:rsidRDefault="0044340B" w:rsidP="00D241D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10D09">
              <w:rPr>
                <w:rFonts w:ascii="Liberation Serif" w:hAnsi="Liberation Serif"/>
                <w:sz w:val="24"/>
                <w:szCs w:val="24"/>
              </w:rPr>
              <w:t>Приложение к п</w:t>
            </w:r>
            <w:r>
              <w:rPr>
                <w:rFonts w:ascii="Liberation Serif" w:hAnsi="Liberation Serif"/>
                <w:sz w:val="24"/>
                <w:szCs w:val="24"/>
              </w:rPr>
              <w:t>рогнозу социально</w:t>
            </w:r>
            <w:r w:rsidRPr="00110D09">
              <w:rPr>
                <w:rFonts w:ascii="Liberation Serif" w:hAnsi="Liberation Serif"/>
                <w:sz w:val="24"/>
                <w:szCs w:val="24"/>
              </w:rPr>
              <w:t xml:space="preserve">-экономического развития городского округа Верхняя Пышма на 2023 год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110D09">
              <w:rPr>
                <w:rFonts w:ascii="Liberation Serif" w:hAnsi="Liberation Serif"/>
                <w:sz w:val="24"/>
                <w:szCs w:val="24"/>
              </w:rPr>
              <w:t xml:space="preserve">и плановый период 2024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110D09">
              <w:rPr>
                <w:rFonts w:ascii="Liberation Serif" w:hAnsi="Liberation Serif"/>
                <w:sz w:val="24"/>
                <w:szCs w:val="24"/>
              </w:rPr>
              <w:t xml:space="preserve"> 2025 годов</w:t>
            </w:r>
          </w:p>
          <w:p w:rsidR="0044340B" w:rsidRPr="00110D09" w:rsidRDefault="0044340B" w:rsidP="00D241D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10D09">
              <w:rPr>
                <w:rFonts w:ascii="Liberation Serif" w:hAnsi="Liberation Serif"/>
                <w:sz w:val="24"/>
                <w:szCs w:val="24"/>
              </w:rPr>
              <w:t>от______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_____________</w:t>
            </w:r>
            <w:r w:rsidRPr="00110D09">
              <w:rPr>
                <w:rFonts w:ascii="Liberation Serif" w:hAnsi="Liberation Serif"/>
                <w:sz w:val="24"/>
                <w:szCs w:val="24"/>
              </w:rPr>
              <w:t>__</w:t>
            </w:r>
            <w:r>
              <w:rPr>
                <w:rFonts w:ascii="Liberation Serif" w:hAnsi="Liberation Serif"/>
                <w:sz w:val="24"/>
                <w:szCs w:val="24"/>
              </w:rPr>
              <w:t>__№ _____</w:t>
            </w:r>
          </w:p>
        </w:tc>
      </w:tr>
    </w:tbl>
    <w:p w:rsidR="0044340B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44340B" w:rsidRPr="00110D09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44340B" w:rsidRPr="00110D09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110D09">
        <w:rPr>
          <w:rFonts w:ascii="Liberation Serif" w:hAnsi="Liberation Serif"/>
          <w:b/>
          <w:sz w:val="24"/>
          <w:szCs w:val="24"/>
        </w:rPr>
        <w:t xml:space="preserve">Пояснительная записка </w:t>
      </w:r>
    </w:p>
    <w:p w:rsidR="0044340B" w:rsidRPr="00110D09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110D09">
        <w:rPr>
          <w:rFonts w:ascii="Liberation Serif" w:hAnsi="Liberation Serif"/>
          <w:b/>
          <w:sz w:val="24"/>
          <w:szCs w:val="24"/>
        </w:rPr>
        <w:t xml:space="preserve">к прогнозу социально-экономического развития </w:t>
      </w:r>
    </w:p>
    <w:p w:rsidR="0044340B" w:rsidRPr="00110D09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110D09">
        <w:rPr>
          <w:rFonts w:ascii="Liberation Serif" w:hAnsi="Liberation Serif"/>
          <w:b/>
          <w:sz w:val="24"/>
          <w:szCs w:val="24"/>
        </w:rPr>
        <w:t xml:space="preserve">городского округа Верхняя Пышма на 2023 год и </w:t>
      </w:r>
    </w:p>
    <w:p w:rsidR="0044340B" w:rsidRPr="00110D09" w:rsidRDefault="0044340B" w:rsidP="0044340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110D09">
        <w:rPr>
          <w:rFonts w:ascii="Liberation Serif" w:hAnsi="Liberation Serif"/>
          <w:b/>
          <w:sz w:val="24"/>
          <w:szCs w:val="24"/>
        </w:rPr>
        <w:t>плановый период 2024 - 2025 годы</w:t>
      </w:r>
    </w:p>
    <w:p w:rsidR="0044340B" w:rsidRPr="00110D09" w:rsidRDefault="0044340B" w:rsidP="0044340B">
      <w:pPr>
        <w:jc w:val="both"/>
        <w:rPr>
          <w:rFonts w:ascii="Liberation Serif" w:hAnsi="Liberation Serif"/>
        </w:rPr>
      </w:pPr>
    </w:p>
    <w:p w:rsidR="0044340B" w:rsidRPr="00110D09" w:rsidRDefault="0044340B" w:rsidP="0044340B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</w:rPr>
      </w:pPr>
      <w:r w:rsidRPr="00110D09">
        <w:rPr>
          <w:rFonts w:ascii="Liberation Serif" w:hAnsi="Liberation Serif"/>
        </w:rPr>
        <w:t xml:space="preserve">Прогноз социально-экономического развития городского округа Верхняя Пышма на 2023 год и плановый период 2024 - 2025 годов (далее </w:t>
      </w:r>
      <w:r>
        <w:rPr>
          <w:rFonts w:ascii="Liberation Serif" w:hAnsi="Liberation Serif"/>
        </w:rPr>
        <w:t>–</w:t>
      </w:r>
      <w:r w:rsidRPr="00110D09">
        <w:rPr>
          <w:rFonts w:ascii="Liberation Serif" w:hAnsi="Liberation Serif"/>
        </w:rPr>
        <w:t xml:space="preserve"> Прогноз) подг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 xml:space="preserve">товлен в соответствии со статьей 173 Бюджетного Кодекса Российской Федерации, </w:t>
      </w:r>
      <w:r w:rsidRPr="00110D09">
        <w:rPr>
          <w:rFonts w:ascii="Liberation Serif" w:hAnsi="Liberation Serif" w:cs="LiberationSerif"/>
        </w:rPr>
        <w:t xml:space="preserve">а также с учетом Указа Президента Российской Федерации от 21.07.2020 № 474 «О национальных целях развития Российской Федерации на период до 2030 года» (далее – Указ Президента Российской Федерации от 21.07.2020 № 474), в соответствии с </w:t>
      </w:r>
      <w:r w:rsidRPr="00110D09">
        <w:rPr>
          <w:rFonts w:ascii="Liberation Serif" w:hAnsi="Liberation Serif"/>
        </w:rPr>
        <w:t>Областным законом от 15.06.2015 № 45 – ОЗ «О стратегическом планировании в Российской Федерации, осуществляемом на терр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тории Свердловской области», постановлением администрации городского округа Верхняя Пышма от 30.05.2014 № 922 «О порядке разработки прогноза социально-экономического развития городского округа Верхняя Пышма».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Прогноз разработан в консервативном варианте с учетом основных параметров уточненного прогноза социально-экономического развития Свердловской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области, утвержденного Постановлением Правительства Свердловской области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от 27.10.2022 № 698-ПП.</w:t>
      </w:r>
    </w:p>
    <w:p w:rsidR="0044340B" w:rsidRPr="00110D09" w:rsidRDefault="0044340B" w:rsidP="0044340B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 w:cs="LiberationSerif"/>
        </w:rPr>
        <w:t xml:space="preserve">Прогноз сформирован исходя из анализа статистических данных за 2021 год, январь – июнь 2022 года и прогнозных расчетов по основным видам экономической деятельности, представленных предприятиями и организациями, расположенными </w:t>
      </w:r>
      <w:r>
        <w:rPr>
          <w:rFonts w:ascii="Liberation Serif" w:hAnsi="Liberation Serif" w:cs="LiberationSerif"/>
        </w:rPr>
        <w:br/>
      </w:r>
      <w:r w:rsidRPr="00110D09">
        <w:rPr>
          <w:rFonts w:ascii="Liberation Serif" w:hAnsi="Liberation Serif" w:cs="LiberationSerif"/>
        </w:rPr>
        <w:t>и осуществляющими деятельность на территории городского округа Верхняя Пышма.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Предприятия городского округа Верхняя Пышма работали стабильно. В</w:t>
      </w:r>
      <w:r w:rsidRPr="00110D09">
        <w:rPr>
          <w:rFonts w:ascii="Liberation Serif" w:hAnsi="Liberation Serif"/>
        </w:rPr>
        <w:t>ы</w:t>
      </w:r>
      <w:r w:rsidRPr="00110D09">
        <w:rPr>
          <w:rFonts w:ascii="Liberation Serif" w:hAnsi="Liberation Serif"/>
        </w:rPr>
        <w:t>полнялись договорные обязательства, отсутствовали массовые сокращения раб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 xml:space="preserve">тающих. Благодаря четкому плану действий как собственников предприятий, так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и администрации городского округа Верхняя Пышма ситуация остается устойчивой.</w:t>
      </w:r>
    </w:p>
    <w:p w:rsidR="0044340B" w:rsidRPr="00110D09" w:rsidRDefault="0044340B" w:rsidP="0044340B">
      <w:pPr>
        <w:ind w:firstLine="709"/>
        <w:jc w:val="both"/>
        <w:rPr>
          <w:rFonts w:ascii="Liberation Serif" w:hAnsi="Liberation Serif"/>
        </w:rPr>
      </w:pPr>
    </w:p>
    <w:p w:rsidR="0044340B" w:rsidRPr="00110D09" w:rsidRDefault="0044340B" w:rsidP="0044340B">
      <w:pPr>
        <w:spacing w:before="100" w:beforeAutospacing="1" w:after="120"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КРАТКАЯ ХАРАКТЕРИСТИКА ГОРОДСКОГО ОКРУГА </w:t>
      </w:r>
    </w:p>
    <w:p w:rsidR="0044340B" w:rsidRPr="00110D09" w:rsidRDefault="0044340B" w:rsidP="0044340B">
      <w:pPr>
        <w:spacing w:before="100" w:beforeAutospacing="1" w:after="120"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>ВЕРХНЯЯ ПЫШМА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Городской округ Верхняя Пышма</w:t>
      </w:r>
      <w:r w:rsidRPr="00110D09">
        <w:rPr>
          <w:rFonts w:ascii="Liberation Serif" w:hAnsi="Liberation Serif"/>
          <w:bCs/>
          <w:color w:val="252525"/>
          <w:shd w:val="clear" w:color="auto" w:fill="FFFFFF"/>
        </w:rPr>
        <w:t xml:space="preserve"> </w:t>
      </w:r>
      <w:r w:rsidRPr="00110D09">
        <w:rPr>
          <w:rFonts w:ascii="Liberation Serif" w:hAnsi="Liberation Serif"/>
        </w:rPr>
        <w:t>входит в зону Екатеринбургской горо</w:t>
      </w:r>
      <w:r w:rsidRPr="00110D09">
        <w:rPr>
          <w:rFonts w:ascii="Liberation Serif" w:hAnsi="Liberation Serif"/>
        </w:rPr>
        <w:t>д</w:t>
      </w:r>
      <w:r w:rsidRPr="00110D09">
        <w:rPr>
          <w:rFonts w:ascii="Liberation Serif" w:hAnsi="Liberation Serif"/>
        </w:rPr>
        <w:t>ской агломерации наряду с такими городами, как Березовский, Первоуральск, Ре</w:t>
      </w:r>
      <w:r w:rsidRPr="00110D09">
        <w:rPr>
          <w:rFonts w:ascii="Liberation Serif" w:hAnsi="Liberation Serif"/>
        </w:rPr>
        <w:t>в</w:t>
      </w:r>
      <w:r w:rsidRPr="00110D09">
        <w:rPr>
          <w:rFonts w:ascii="Liberation Serif" w:hAnsi="Liberation Serif"/>
        </w:rPr>
        <w:t xml:space="preserve">да, Полевской, расположенными в часовой транспортной доступности. </w:t>
      </w:r>
      <w:r w:rsidRPr="00110D09">
        <w:rPr>
          <w:rFonts w:ascii="Liberation Serif" w:hAnsi="Liberation Serif"/>
          <w:bCs/>
        </w:rPr>
        <w:t>Городской округ объединяет 24 населенных пункта, расположенных на территории 105,2 тысячи гектар.</w:t>
      </w:r>
      <w:r w:rsidRPr="00110D09">
        <w:rPr>
          <w:rFonts w:ascii="Liberation Serif" w:hAnsi="Liberation Serif"/>
        </w:rPr>
        <w:t xml:space="preserve"> Численность населения городского округа Верхняя Пышма по состоянию на 01.01.2022 составляет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90 210 человек (рост по сравнению с 2020 годом составил 2,3 процента), из них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56,9 процента трудоспособного возраста.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Приоритеты деятельности администрации городского округа Верхняя Пы</w:t>
      </w:r>
      <w:r w:rsidRPr="00110D09">
        <w:rPr>
          <w:rFonts w:ascii="Liberation Serif" w:hAnsi="Liberation Serif"/>
        </w:rPr>
        <w:t>ш</w:t>
      </w:r>
      <w:r w:rsidRPr="00110D09">
        <w:rPr>
          <w:rFonts w:ascii="Liberation Serif" w:hAnsi="Liberation Serif"/>
        </w:rPr>
        <w:t xml:space="preserve">ма (далее – администрация) направлены на повышение уровня жизни населения, создание более комфортных условий для проживания, обеспечение стабильности и устойчивой работы объектов жилищно-коммунального хозяйства и социальной сферы в городском округе, дальнейшее развитие городского округа в сложившихся экономических условиях. С конца февраля 2022 года организациями и предприятиями городского округа Верхняя Пышма </w:t>
      </w:r>
      <w:r w:rsidRPr="00110D09">
        <w:rPr>
          <w:rFonts w:ascii="Liberation Serif" w:hAnsi="Liberation Serif"/>
        </w:rPr>
        <w:lastRenderedPageBreak/>
        <w:t>ведется работа по перестраиванию логистических и кооперационных цепочек, адаптация ассортимента выпускаемой продукции под новые запросы.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За первое полугодие 2022 года экономические последствия санкционного давления до конца не определены и предположительно начнут проявляться в третьем и четвертом кварталах 2022 года. Тенденции дальнейшего развития экономики крайне неустойчивы.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В основе деятельности администрации в 2021 году, как и в предыдущие г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ды, лежит реализация основных стратегических документов социально-экономического развития: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Комплексной программы «Развитие городского округа Верхняя Пышма» на 2017-2024 годы (далее –Комплексная программа), утвержденной постановлен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ем Правительства Свердловской области от 14.09.2017 года № 677-ПП;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Стратегии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На реализацию мероприятий Региональной комплексной программы в 2021 году направлено 4 961,8 миллиона рублей, в том числе из: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федерального бюджета – 46,4 миллиона рублей;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областного бюджета – 1 356,5 миллиона рублей;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местного бюджета – 944,7 миллиона рублей;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внебюджетных средств – 2 614,2 миллиона рублей.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Ведущую роль в промышленном комплексе городского округа занимают о</w:t>
      </w:r>
      <w:r w:rsidRPr="00110D09">
        <w:rPr>
          <w:rFonts w:ascii="Liberation Serif" w:hAnsi="Liberation Serif"/>
        </w:rPr>
        <w:t>б</w:t>
      </w:r>
      <w:r w:rsidRPr="00110D09">
        <w:rPr>
          <w:rFonts w:ascii="Liberation Serif" w:hAnsi="Liberation Serif"/>
        </w:rPr>
        <w:t xml:space="preserve">рабатывающие производства, которые составляют более 80 процентов в обороте крупных и средних организаций. 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>За 2021 год построено и введено 173 463 кв. м жилья, в том числе 114 727 кв. м многоквартирного жилья и 58 736 кв. м индивидуального жилья. В 2021 году продолжена комплексная застройка микрорайонов города Верхняя Пышма («Северный», «Центр-Юг», «Центральный», «Петровский», «Рифей», «Юность») и села Балтым («Балтым-Парк»).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 xml:space="preserve">По данным Свердловскоблстата субъектов малого и среднего предпринимательства (далее – СМСП) учтено более 5 тысяч СМСП, их численность возросла на 5,9 процента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>по сравнению с 2020 годом.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</w:p>
    <w:p w:rsidR="0044340B" w:rsidRDefault="0044340B" w:rsidP="0044340B">
      <w:pPr>
        <w:suppressAutoHyphens/>
        <w:ind w:left="360"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Раздел </w:t>
      </w:r>
      <w:r w:rsidRPr="00110D09">
        <w:rPr>
          <w:rFonts w:ascii="Liberation Serif" w:hAnsi="Liberation Serif"/>
          <w:b/>
          <w:lang w:val="en-US"/>
        </w:rPr>
        <w:t>I</w:t>
      </w:r>
      <w:r w:rsidRPr="00110D09">
        <w:rPr>
          <w:rFonts w:ascii="Liberation Serif" w:hAnsi="Liberation Serif"/>
          <w:b/>
        </w:rPr>
        <w:t>. Финансы</w:t>
      </w:r>
    </w:p>
    <w:p w:rsidR="0044340B" w:rsidRPr="00110D09" w:rsidRDefault="0044340B" w:rsidP="0044340B">
      <w:pPr>
        <w:suppressAutoHyphens/>
        <w:ind w:left="360"/>
        <w:jc w:val="center"/>
        <w:rPr>
          <w:rFonts w:ascii="Liberation Serif" w:hAnsi="Liberation Serif"/>
          <w:b/>
        </w:rPr>
      </w:pPr>
    </w:p>
    <w:p w:rsidR="0044340B" w:rsidRPr="00110D09" w:rsidRDefault="0044340B" w:rsidP="0044340B">
      <w:pPr>
        <w:pStyle w:val="ab"/>
        <w:suppressAutoHyphens/>
        <w:ind w:firstLine="567"/>
        <w:jc w:val="both"/>
        <w:rPr>
          <w:rFonts w:ascii="Liberation Serif" w:hAnsi="Liberation Serif"/>
          <w:sz w:val="24"/>
          <w:szCs w:val="24"/>
        </w:rPr>
      </w:pPr>
      <w:r w:rsidRPr="00110D09">
        <w:rPr>
          <w:rFonts w:ascii="Liberation Serif" w:hAnsi="Liberation Serif"/>
          <w:sz w:val="24"/>
          <w:szCs w:val="24"/>
        </w:rPr>
        <w:t>В 2021 году, в сложившихся экономических условиях, крупными и средними предприятиями городского округа Вер</w:t>
      </w:r>
      <w:r w:rsidRPr="00110D09">
        <w:rPr>
          <w:rFonts w:ascii="Liberation Serif" w:hAnsi="Liberation Serif"/>
          <w:sz w:val="24"/>
          <w:szCs w:val="24"/>
        </w:rPr>
        <w:t>х</w:t>
      </w:r>
      <w:r w:rsidRPr="00110D09">
        <w:rPr>
          <w:rFonts w:ascii="Liberation Serif" w:hAnsi="Liberation Serif"/>
          <w:sz w:val="24"/>
          <w:szCs w:val="24"/>
        </w:rPr>
        <w:t xml:space="preserve">няя Пышма получена прибыль прибыльных организаций в сумме 46 727,7 миллиона рублей. </w:t>
      </w:r>
      <w:r w:rsidRPr="00110D09">
        <w:rPr>
          <w:rFonts w:ascii="Liberation Serif" w:hAnsi="Liberation Serif" w:cs="Liberation Serif"/>
          <w:sz w:val="24"/>
          <w:szCs w:val="24"/>
        </w:rPr>
        <w:t xml:space="preserve">Согласно данным, представленным крупными и средними предприятиями (без данных предприятий </w:t>
      </w:r>
      <w:r w:rsidRPr="00110D09">
        <w:rPr>
          <w:rFonts w:ascii="Liberation Serif" w:hAnsi="Liberation Serif"/>
          <w:sz w:val="24"/>
          <w:szCs w:val="24"/>
        </w:rPr>
        <w:t>АО «Уралэлектромедь» и ОАО «УГМК»)</w:t>
      </w:r>
      <w:r w:rsidRPr="00110D09">
        <w:rPr>
          <w:rFonts w:ascii="Liberation Serif" w:hAnsi="Liberation Serif" w:cs="Liberation Serif"/>
          <w:sz w:val="24"/>
          <w:szCs w:val="24"/>
        </w:rPr>
        <w:t>, 2022 год ожидается завершить с сальдированным финансовым результатом (прибыль минус убыток) - 1 180,42 миллиона рублей.</w:t>
      </w:r>
      <w:r w:rsidRPr="00110D09">
        <w:rPr>
          <w:rFonts w:ascii="Liberation Serif" w:hAnsi="Liberation Serif"/>
          <w:sz w:val="24"/>
          <w:szCs w:val="24"/>
        </w:rPr>
        <w:t xml:space="preserve"> В 2025 году прибыль прогнозируется в размере 2 581,19 миллиона рублей. </w:t>
      </w:r>
    </w:p>
    <w:p w:rsidR="0044340B" w:rsidRPr="00110D09" w:rsidRDefault="0044340B" w:rsidP="0044340B">
      <w:pPr>
        <w:suppressAutoHyphens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ab/>
        <w:t>Прогноз сформирован с учетом планируемых объемов прибыли крупных предприятий городского округа АО «Уралредмет», ООО «Уральские локомотивы», ООО «Компания металл Профиль Урал», АО «Екатеринбургский завод по обработке цветных металлов» и других.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/>
        </w:rPr>
        <w:tab/>
      </w:r>
      <w:r w:rsidRPr="00110D09">
        <w:rPr>
          <w:rFonts w:ascii="Liberation Serif" w:hAnsi="Liberation Serif" w:cs="Liberation Serif"/>
        </w:rPr>
        <w:t xml:space="preserve">За 2021 год в бюджет городского округа поступило 7 196,6 миллиона рублей доходов, что составляет 101,6 % утвержденных годовых назначений. </w:t>
      </w:r>
      <w:r w:rsidRPr="00110D09">
        <w:rPr>
          <w:rFonts w:ascii="Liberation Serif" w:hAnsi="Liberation Serif"/>
        </w:rPr>
        <w:t>Основными источниками поступления д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ходов в местный бюджет являются: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>налог на доходы физических лиц – 2 369,8 миллиона рублей, или 103,3 % годовых назначений (в том числе дополнительные доходы);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>земельный налог – 126,3 миллиона рублей, или 98,6 % годовых назначений;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>налог на имущество физических лиц – 40,8 миллиона рублей, или 95,5 % годовых назначений;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lastRenderedPageBreak/>
        <w:t>доходы от использования имущества, находящегося в государственной и муниципальной собственности, – 157,6 миллиона рублей, или 105,4 % годовых назначений.</w:t>
      </w:r>
    </w:p>
    <w:p w:rsidR="0044340B" w:rsidRPr="00110D09" w:rsidRDefault="0044340B" w:rsidP="0044340B">
      <w:pPr>
        <w:shd w:val="clear" w:color="auto" w:fill="FFFFFF"/>
        <w:suppressAutoHyphens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>Безвозмездные поступления составили 4 130,6 миллиона рублей (план выполнен на 100,7 %).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В 2022 году доходы консолидированного бюджета оцениваются в размере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6 949,1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 xml:space="preserve">, в том числе налог на доходы физических лиц по оценке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на 2022 год – 2 864,9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, з</w:t>
      </w:r>
      <w:r w:rsidRPr="00110D09">
        <w:rPr>
          <w:rFonts w:ascii="Liberation Serif" w:hAnsi="Liberation Serif"/>
        </w:rPr>
        <w:t>е</w:t>
      </w:r>
      <w:r w:rsidRPr="00110D09">
        <w:rPr>
          <w:rFonts w:ascii="Liberation Serif" w:hAnsi="Liberation Serif"/>
        </w:rPr>
        <w:t xml:space="preserve">мельный налог по оценке на 2022 год –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106,6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, налог на имущество физ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 xml:space="preserve">ческих лиц по оценке 2022 года –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61,0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На период 2023 – 2025 годов налог на доходы физических лиц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в консолид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рованный бюджет прогнозируется в соответствии с темпами роста: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2023 год– темп роста 107,1 процента в объеме 3 068,3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2024 год– темп роста 105,0 процента в объеме 3 221,7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2025 год– темп роста 104,5 процента в объеме 3 366,7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На период 2023 – 2025 годов земельный налог прогнозируется в соответс</w:t>
      </w:r>
      <w:r w:rsidRPr="00110D09">
        <w:rPr>
          <w:rFonts w:ascii="Liberation Serif" w:hAnsi="Liberation Serif"/>
        </w:rPr>
        <w:t>т</w:t>
      </w:r>
      <w:r w:rsidRPr="00110D09">
        <w:rPr>
          <w:rFonts w:ascii="Liberation Serif" w:hAnsi="Liberation Serif"/>
        </w:rPr>
        <w:t>вии с темпами роста: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2023 год– темп роста 111,6 процента в объеме 118,9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2024 год– темп роста 100,0 процента в объеме 118,9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2025 год– темп роста 100,0 процента в объеме 118,9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На период 2023 – 2025 годов налог на имущество физических лиц прогноз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руется в соответствии с темпами роста: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2023 год– темп роста 122,0 процента в объеме 74,5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2024 год– темп роста 102,0 процента в объеме 75,9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suppressAutoHyphens/>
        <w:ind w:firstLine="72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2025 год– темп роста 107,0 процента в объеме 81,3 </w:t>
      </w:r>
      <w:r w:rsidRPr="00110D09">
        <w:rPr>
          <w:rFonts w:ascii="Liberation Serif" w:hAnsi="Liberation Serif" w:cs="Liberation Serif"/>
        </w:rPr>
        <w:t>миллиона рублей</w:t>
      </w:r>
      <w:r w:rsidRPr="00110D09">
        <w:rPr>
          <w:rFonts w:ascii="Liberation Serif" w:hAnsi="Liberation Serif"/>
        </w:rPr>
        <w:t>.</w:t>
      </w:r>
    </w:p>
    <w:p w:rsidR="0044340B" w:rsidRPr="00110D09" w:rsidRDefault="0044340B" w:rsidP="0044340B">
      <w:pPr>
        <w:pStyle w:val="a8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rFonts w:ascii="Liberation Serif" w:hAnsi="Liberation Serif" w:cs="Helvetica"/>
        </w:rPr>
      </w:pPr>
      <w:r w:rsidRPr="00110D09">
        <w:rPr>
          <w:rFonts w:ascii="Liberation Serif" w:hAnsi="Liberation Serif" w:cs="Helvetica"/>
        </w:rPr>
        <w:t>В период 2020 – 2022 годов изменились</w:t>
      </w:r>
      <w:r w:rsidRPr="00110D09">
        <w:rPr>
          <w:rStyle w:val="aa"/>
          <w:rFonts w:ascii="Liberation Serif" w:hAnsi="Liberation Serif" w:cs="Helvetica"/>
        </w:rPr>
        <w:t> </w:t>
      </w:r>
      <w:r w:rsidRPr="00110D09">
        <w:rPr>
          <w:rFonts w:ascii="Liberation Serif" w:hAnsi="Liberation Serif" w:cs="Helvetica"/>
        </w:rPr>
        <w:t>условия реализации экономической и бюджетной политик. Процессы, в связи с пандемией и санкциями, введенными недружественными странами против России, повлияли на экономику и финансы не только Свердловской области, но и городского округа Верхняя Пышма. Меры, направленные на сдерживание распространения коронавирусной инфекции, привели к сокращению экономической активности в Свердловской области. При этом, вызвали падение сырьевых и финансовых рынков, а также доходов бюджета и населения городского округа.</w:t>
      </w:r>
    </w:p>
    <w:p w:rsidR="0044340B" w:rsidRPr="00110D09" w:rsidRDefault="0044340B" w:rsidP="0044340B">
      <w:pPr>
        <w:pStyle w:val="a8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rFonts w:ascii="Liberation Serif" w:hAnsi="Liberation Serif"/>
        </w:rPr>
      </w:pPr>
      <w:r w:rsidRPr="00110D09">
        <w:rPr>
          <w:rFonts w:ascii="Liberation Serif" w:hAnsi="Liberation Serif" w:cs="Helvetica"/>
        </w:rPr>
        <w:t xml:space="preserve">В связи с этим, экономическая политики на 2023-2025 годы ориентирована на создание условий для стимулирования и восстановления экономики. </w:t>
      </w:r>
      <w:r w:rsidRPr="00110D09">
        <w:rPr>
          <w:rFonts w:ascii="Liberation Serif" w:hAnsi="Liberation Serif"/>
        </w:rPr>
        <w:t>Основываясь на прогнозных оценках финансово-хозяйственной деятельн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сти предприятий, в прогнозируемый период не ожидается большого роста налог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 xml:space="preserve">вых поступлений, а также возможны снижения поступлений, формирующих бюджет городского округа Верхняя Пышма. </w:t>
      </w:r>
    </w:p>
    <w:p w:rsidR="0044340B" w:rsidRPr="00110D09" w:rsidRDefault="0044340B" w:rsidP="0044340B">
      <w:pPr>
        <w:suppressAutoHyphens/>
        <w:jc w:val="center"/>
        <w:rPr>
          <w:rFonts w:ascii="Liberation Serif" w:hAnsi="Liberation Serif"/>
          <w:b/>
          <w:highlight w:val="yellow"/>
        </w:rPr>
      </w:pPr>
    </w:p>
    <w:p w:rsidR="0044340B" w:rsidRDefault="0044340B" w:rsidP="0044340B">
      <w:pPr>
        <w:suppressAutoHyphens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Раздел </w:t>
      </w:r>
      <w:r w:rsidRPr="00110D09">
        <w:rPr>
          <w:rFonts w:ascii="Liberation Serif" w:hAnsi="Liberation Serif"/>
          <w:b/>
          <w:lang w:val="en-US"/>
        </w:rPr>
        <w:t>II</w:t>
      </w:r>
      <w:r w:rsidRPr="00110D09">
        <w:rPr>
          <w:rFonts w:ascii="Liberation Serif" w:hAnsi="Liberation Serif"/>
          <w:b/>
        </w:rPr>
        <w:t>. Производственная деятельность</w:t>
      </w:r>
    </w:p>
    <w:p w:rsidR="0044340B" w:rsidRPr="00110D09" w:rsidRDefault="0044340B" w:rsidP="0044340B">
      <w:pPr>
        <w:suppressAutoHyphens/>
        <w:jc w:val="center"/>
        <w:rPr>
          <w:rFonts w:ascii="Liberation Serif" w:hAnsi="Liberation Serif"/>
          <w:b/>
        </w:rPr>
      </w:pPr>
    </w:p>
    <w:p w:rsidR="0044340B" w:rsidRPr="00110D09" w:rsidRDefault="0044340B" w:rsidP="0044340B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Основной задачей промышленной политики в среднесрочной перспективе является сохранение и развитие накопленного промышленного и технологического потенциала, модернизации и технологическому перевооружению производств, а также применение высокопроизводительных, энерго- и ресурсосберегающих те</w:t>
      </w:r>
      <w:r w:rsidRPr="00110D09">
        <w:rPr>
          <w:rFonts w:ascii="Liberation Serif" w:hAnsi="Liberation Serif"/>
        </w:rPr>
        <w:t>х</w:t>
      </w:r>
      <w:r w:rsidRPr="00110D09">
        <w:rPr>
          <w:rFonts w:ascii="Liberation Serif" w:hAnsi="Liberation Serif"/>
        </w:rPr>
        <w:t>нологий, снижение издержек производственной деятельности, сохранение, дал</w:t>
      </w:r>
      <w:r w:rsidRPr="00110D09">
        <w:rPr>
          <w:rFonts w:ascii="Liberation Serif" w:hAnsi="Liberation Serif"/>
        </w:rPr>
        <w:t>ь</w:t>
      </w:r>
      <w:r w:rsidRPr="00110D09">
        <w:rPr>
          <w:rFonts w:ascii="Liberation Serif" w:hAnsi="Liberation Serif"/>
        </w:rPr>
        <w:t xml:space="preserve">нейшее развитие достигнутых показателей и принятие мер по стабилизации экономики городского округа Верхняя Пышма в сложившихся экономических условиях, связанных с распространением </w:t>
      </w:r>
      <w:r w:rsidRPr="00110D09">
        <w:rPr>
          <w:rFonts w:ascii="Liberation Serif" w:hAnsi="Liberation Serif" w:cs="LiberationSerif"/>
        </w:rPr>
        <w:t>новой коронавирусной инфекцией (2019-nCoV) в 2020 году и продолжавшихся в 2021 году.</w:t>
      </w:r>
    </w:p>
    <w:p w:rsidR="0044340B" w:rsidRPr="00110D09" w:rsidRDefault="0044340B" w:rsidP="0044340B">
      <w:pPr>
        <w:suppressAutoHyphens/>
        <w:ind w:firstLine="709"/>
        <w:contextualSpacing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В 2021 году оборот по полному кругу предприятий </w:t>
      </w:r>
      <w:r w:rsidRPr="00110D09">
        <w:rPr>
          <w:rFonts w:ascii="Liberation Serif" w:hAnsi="Liberation Serif" w:cs="Liberation Serif"/>
        </w:rPr>
        <w:t>составил 507 398,3 миллиона рублей, или 139,5 процента от уровня 2020 года</w:t>
      </w:r>
      <w:r w:rsidRPr="00110D09">
        <w:rPr>
          <w:rFonts w:ascii="Liberation Serif" w:hAnsi="Liberation Serif"/>
        </w:rPr>
        <w:t xml:space="preserve">. По данным Свердловскоблстата за январь – октябрь 2022 года показатель составил 441 873,4 миллиона рублей, что 4,9 процента выше аналогичного периода 2021 года. В 2022 году прогнозируется снижение оборота по </w:t>
      </w:r>
      <w:r w:rsidRPr="00110D09">
        <w:rPr>
          <w:rFonts w:ascii="Liberation Serif" w:hAnsi="Liberation Serif"/>
        </w:rPr>
        <w:lastRenderedPageBreak/>
        <w:t>полн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му кругу предприятий на 6,0 процента к уровню 2021 года, в период с 2023 по 2025 годы об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 xml:space="preserve">рот организаций по полному кругу выстроен по информации, предоставленной крупными предприятиями, без учета АО «Уралэлектромедь» и ОАО «УГМК». 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Прогноз промышленного производства на среднесрочный период разработан с учетом следующих факторов: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1) последствия введенных санкций странами ЕС, США для российской экономики;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2) повышение цен на металлы на Лондонской бирже металлов, приводящее к росту стоимости металлургического сырья на внутреннем рынке;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3) значительное снижение объема экспорта промышленной продукции;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4) зависимость отраслей промышленности от импортного оборудования, комплектующих, расходных материалов, обслуживания иностранными специалистами;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5) увеличение логистических затрат для переориентации экспорта товара в страны Азии и другие;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6) темпы реализации мер по импортозамещению;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7) применение повышающего коэффициента 3,5 к действующей ставке налога на добычу полезных ископаемых в отношении твердых полезных ископаемых;</w:t>
      </w:r>
    </w:p>
    <w:p w:rsidR="0044340B" w:rsidRPr="00110D09" w:rsidRDefault="0044340B" w:rsidP="0044340B">
      <w:pPr>
        <w:suppressAutoHyphens/>
        <w:ind w:firstLine="709"/>
        <w:contextualSpacing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8) завершение реализации большей части инвестиционных проектов в промышленности.</w:t>
      </w:r>
    </w:p>
    <w:p w:rsidR="0044340B" w:rsidRPr="00110D09" w:rsidRDefault="0044340B" w:rsidP="0044340B">
      <w:pPr>
        <w:suppressAutoHyphens/>
        <w:ind w:firstLine="709"/>
        <w:jc w:val="center"/>
        <w:rPr>
          <w:rFonts w:ascii="Liberation Serif" w:hAnsi="Liberation Serif"/>
          <w:b/>
        </w:rPr>
      </w:pPr>
    </w:p>
    <w:p w:rsidR="0044340B" w:rsidRDefault="0044340B" w:rsidP="0044340B">
      <w:pPr>
        <w:suppressAutoHyphens/>
        <w:ind w:firstLine="709"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Раздел </w:t>
      </w:r>
      <w:r w:rsidRPr="00110D09">
        <w:rPr>
          <w:rFonts w:ascii="Liberation Serif" w:hAnsi="Liberation Serif"/>
          <w:b/>
          <w:lang w:val="en-US"/>
        </w:rPr>
        <w:t>III</w:t>
      </w:r>
      <w:r w:rsidRPr="00110D09">
        <w:rPr>
          <w:rFonts w:ascii="Liberation Serif" w:hAnsi="Liberation Serif"/>
          <w:b/>
        </w:rPr>
        <w:t>. Инвестиционная деятельность</w:t>
      </w:r>
    </w:p>
    <w:p w:rsidR="0044340B" w:rsidRPr="00110D09" w:rsidRDefault="0044340B" w:rsidP="0044340B">
      <w:pPr>
        <w:suppressAutoHyphens/>
        <w:ind w:firstLine="709"/>
        <w:jc w:val="center"/>
        <w:rPr>
          <w:rFonts w:ascii="Liberation Serif" w:hAnsi="Liberation Serif"/>
          <w:b/>
        </w:rPr>
      </w:pP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Инвестиции в основной капитал за 2021 год снизились на 42,2 процента к уровню 2020 года и составили 6 827,4 млн. рублей. По данным Свердловскоблстата за январь – сентябрь 2022 года показатель составил 4 482,5 миллиона рублей, что 32,6 процента выше аналогичного периода 2021 года.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В 2023 году объем инвестиций прогнозируется на 36,4 процента ниже уровня 2022 года и составит 3 335,3 миллиона рублей, в 2024 году – 2 134,8 миллиона рублей, в 2025 – 1 308,1 миллиона рублей.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Прогнозируемая сдержанная инвестиционная активность обусловлена нестабильностью мировой конъюнктуры, неопределенностью относительно продолжительности санкционных ограничений, разрывом устоявшихся экономических связей. Крупнейшими инвестиционными проектами являются: реконструкция </w:t>
      </w:r>
      <w:r w:rsidRPr="00110D09">
        <w:rPr>
          <w:rFonts w:ascii="Liberation Serif" w:hAnsi="Liberation Serif"/>
          <w:lang w:val="en-US"/>
        </w:rPr>
        <w:t>III</w:t>
      </w:r>
      <w:r w:rsidRPr="00110D09">
        <w:rPr>
          <w:rFonts w:ascii="Liberation Serif" w:hAnsi="Liberation Serif"/>
        </w:rPr>
        <w:t xml:space="preserve"> очереди цеха электролиза меди АО «Уралэлектромедь», развития производства электровозов нового поколения ООО «Уральские локомотивы» и строительство комбината питания по производству полуфабрикатов и готовой еды ООО «Фабрика здорового питания».</w:t>
      </w:r>
    </w:p>
    <w:p w:rsidR="0044340B" w:rsidRPr="00110D09" w:rsidRDefault="0044340B" w:rsidP="0044340B">
      <w:pPr>
        <w:pStyle w:val="1"/>
        <w:suppressAutoHyphens/>
        <w:jc w:val="both"/>
        <w:rPr>
          <w:rFonts w:ascii="Liberation Serif" w:hAnsi="Liberation Serif"/>
          <w:i/>
          <w:sz w:val="24"/>
          <w:szCs w:val="24"/>
          <w:highlight w:val="yellow"/>
        </w:rPr>
      </w:pPr>
    </w:p>
    <w:p w:rsidR="0044340B" w:rsidRDefault="0044340B" w:rsidP="0044340B">
      <w:pPr>
        <w:pStyle w:val="2"/>
        <w:suppressAutoHyphens/>
        <w:jc w:val="center"/>
        <w:rPr>
          <w:rFonts w:ascii="Liberation Serif" w:hAnsi="Liberation Serif"/>
          <w:i w:val="0"/>
          <w:sz w:val="24"/>
          <w:szCs w:val="24"/>
        </w:rPr>
      </w:pPr>
      <w:r w:rsidRPr="00110D09">
        <w:rPr>
          <w:rFonts w:ascii="Liberation Serif" w:hAnsi="Liberation Serif"/>
          <w:i w:val="0"/>
          <w:sz w:val="24"/>
          <w:szCs w:val="24"/>
        </w:rPr>
        <w:t xml:space="preserve">Раздел </w:t>
      </w:r>
      <w:r w:rsidRPr="00110D09">
        <w:rPr>
          <w:rFonts w:ascii="Liberation Serif" w:hAnsi="Liberation Serif"/>
          <w:i w:val="0"/>
          <w:sz w:val="24"/>
          <w:szCs w:val="24"/>
          <w:lang w:val="en-US"/>
        </w:rPr>
        <w:t>IV</w:t>
      </w:r>
      <w:r w:rsidRPr="00110D09">
        <w:rPr>
          <w:rFonts w:ascii="Liberation Serif" w:hAnsi="Liberation Serif"/>
          <w:i w:val="0"/>
          <w:sz w:val="24"/>
          <w:szCs w:val="24"/>
        </w:rPr>
        <w:t>. Денежные доходы населения</w:t>
      </w:r>
    </w:p>
    <w:p w:rsidR="0044340B" w:rsidRPr="00110D09" w:rsidRDefault="0044340B" w:rsidP="0044340B">
      <w:pPr>
        <w:pStyle w:val="2"/>
        <w:suppressAutoHyphens/>
        <w:jc w:val="center"/>
        <w:rPr>
          <w:rFonts w:ascii="Liberation Serif" w:hAnsi="Liberation Serif"/>
          <w:i w:val="0"/>
          <w:sz w:val="24"/>
          <w:szCs w:val="24"/>
        </w:rPr>
      </w:pPr>
    </w:p>
    <w:p w:rsidR="0044340B" w:rsidRPr="00110D09" w:rsidRDefault="0044340B" w:rsidP="0044340B">
      <w:pPr>
        <w:suppressAutoHyphens/>
        <w:ind w:firstLine="708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В 2021 году средняя заработная плата по кругу крупных и средних предприятий городского округа Верхняя Пышма составила 70 173 рубля, что на 19,0 процентов выше соответствующего периода 2019 года. По данным Свердловскоблстата за январь – сентябрь 2022 года показатель составил 70 769 рублей. В обрабатывающем производстве заработная плата на 01.10.2022 составила 92 906 рублей, что на 1,8 процента выше по сравнению с соответствующим периодом 2021 года.</w:t>
      </w:r>
    </w:p>
    <w:p w:rsidR="0044340B" w:rsidRPr="00110D09" w:rsidRDefault="0044340B" w:rsidP="0044340B">
      <w:pPr>
        <w:suppressAutoHyphens/>
        <w:ind w:firstLine="708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С учетом прогнозных оценок фонд оплаты труда в 2022 году составит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18 661,6 миллиона рублей, что ниже уровня 2021 года на 1,4 процента. В 2023 году фонд оплаты труда увеличится на 8,0 процентов и составит 20 154,5 миллиона рублей,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в 2024 году фонд оплаты труда увеличится на 6,0 процентов и составит 21 363,8 миллиона рублей, в 2025 году фонд оплаты увеличится на 5,0 процентов и составит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22 431,9 миллиона рублей.</w:t>
      </w:r>
    </w:p>
    <w:p w:rsidR="0044340B" w:rsidRPr="00110D09" w:rsidRDefault="0044340B" w:rsidP="0044340B">
      <w:pPr>
        <w:suppressAutoHyphens/>
        <w:ind w:firstLine="708"/>
        <w:jc w:val="both"/>
        <w:rPr>
          <w:rFonts w:ascii="Liberation Serif" w:hAnsi="Liberation Serif"/>
          <w:i/>
        </w:rPr>
      </w:pPr>
      <w:r w:rsidRPr="00110D09">
        <w:rPr>
          <w:rFonts w:ascii="Liberation Serif" w:hAnsi="Liberation Serif"/>
        </w:rPr>
        <w:t>В структуре доходов населения городского округа Верхняя Пышма доля о</w:t>
      </w:r>
      <w:r w:rsidRPr="00110D09">
        <w:rPr>
          <w:rFonts w:ascii="Liberation Serif" w:hAnsi="Liberation Serif"/>
        </w:rPr>
        <w:t>п</w:t>
      </w:r>
      <w:r w:rsidRPr="00110D09">
        <w:rPr>
          <w:rFonts w:ascii="Liberation Serif" w:hAnsi="Liberation Serif"/>
        </w:rPr>
        <w:t>латы труда составляет 64 процента. Согласно прогнозной оценке, в 2022 году среднед</w:t>
      </w:r>
      <w:r w:rsidRPr="00110D09">
        <w:rPr>
          <w:rFonts w:ascii="Liberation Serif" w:hAnsi="Liberation Serif"/>
        </w:rPr>
        <w:t>у</w:t>
      </w:r>
      <w:r w:rsidRPr="00110D09">
        <w:rPr>
          <w:rFonts w:ascii="Liberation Serif" w:hAnsi="Liberation Serif"/>
        </w:rPr>
        <w:t xml:space="preserve">шевые </w:t>
      </w:r>
      <w:r w:rsidRPr="00110D09">
        <w:rPr>
          <w:rFonts w:ascii="Liberation Serif" w:hAnsi="Liberation Serif"/>
        </w:rPr>
        <w:lastRenderedPageBreak/>
        <w:t>денежные доходы населения городского округа Верхняя Пышма в месяц с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ставят 32,42 тысяч рублей, что на 16.0 процентов ниже уровня 2021 года. Согласно прогнозной оценке среднедушевые доходы населения в месяц в 2023 году увеличатся на 4,0 процента и составят 33,71 тысяч рублей, в 2024 году среднедушевой доход населения увеличится на 2,6 процента и составит 34,6 тысяч рублей, в 2025 году среднедушевой доход населения увеличится на 2,3 процента и составит 35,4 тысяч рублей.</w:t>
      </w:r>
    </w:p>
    <w:p w:rsidR="0044340B" w:rsidRPr="00110D09" w:rsidRDefault="0044340B" w:rsidP="0044340B">
      <w:pPr>
        <w:suppressAutoHyphens/>
        <w:jc w:val="center"/>
        <w:rPr>
          <w:rFonts w:ascii="Liberation Serif" w:hAnsi="Liberation Serif"/>
          <w:b/>
        </w:rPr>
      </w:pPr>
    </w:p>
    <w:p w:rsidR="0044340B" w:rsidRDefault="0044340B" w:rsidP="0044340B">
      <w:pPr>
        <w:suppressAutoHyphens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Раздел </w:t>
      </w:r>
      <w:r w:rsidRPr="00110D09">
        <w:rPr>
          <w:rFonts w:ascii="Liberation Serif" w:hAnsi="Liberation Serif"/>
          <w:b/>
          <w:lang w:val="en-US"/>
        </w:rPr>
        <w:t>V</w:t>
      </w:r>
      <w:r w:rsidRPr="00110D09">
        <w:rPr>
          <w:rFonts w:ascii="Liberation Serif" w:hAnsi="Liberation Serif"/>
          <w:b/>
        </w:rPr>
        <w:t>. Потребительский рынок</w:t>
      </w:r>
    </w:p>
    <w:p w:rsidR="0044340B" w:rsidRPr="00110D09" w:rsidRDefault="0044340B" w:rsidP="0044340B">
      <w:pPr>
        <w:suppressAutoHyphens/>
        <w:jc w:val="center"/>
        <w:rPr>
          <w:rFonts w:ascii="Liberation Serif" w:hAnsi="Liberation Serif"/>
          <w:b/>
        </w:rPr>
      </w:pPr>
    </w:p>
    <w:p w:rsidR="0044340B" w:rsidRPr="00110D09" w:rsidRDefault="0044340B" w:rsidP="0044340B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110D09">
        <w:rPr>
          <w:rFonts w:ascii="Liberation Serif" w:hAnsi="Liberation Serif" w:cs="LiberationSerif"/>
        </w:rPr>
        <w:t>В 2021-2022 годах введение режима нерабочих дней, дополнительных ограничений, а также введение санкционных ограничений привело к существенному спаду уровня экономической активности в потребительском секторе. В 2023–2025 годах прогнозируется восстановление траектории роста потребительского рынка. Одновременно сохранятся результаты положительной трансформации бизнеса – развитие дистанционной формы торговли и обслуживания, бесконтактной доставки, выдачи и оплаты товаров</w:t>
      </w:r>
      <w:r w:rsidRPr="00110D09">
        <w:rPr>
          <w:rFonts w:ascii="Liberation Serif" w:hAnsi="Liberation Serif"/>
          <w:bCs/>
        </w:rPr>
        <w:t>:</w:t>
      </w:r>
    </w:p>
    <w:p w:rsidR="0044340B" w:rsidRPr="00110D09" w:rsidRDefault="0044340B" w:rsidP="0044340B">
      <w:pPr>
        <w:tabs>
          <w:tab w:val="left" w:pos="0"/>
        </w:tabs>
        <w:suppressAutoHyphens/>
        <w:ind w:right="-1" w:firstLine="709"/>
        <w:jc w:val="both"/>
        <w:rPr>
          <w:rFonts w:ascii="Liberation Serif" w:hAnsi="Liberation Serif"/>
          <w:bCs/>
        </w:rPr>
      </w:pPr>
      <w:r w:rsidRPr="00110D09">
        <w:rPr>
          <w:rFonts w:ascii="Liberation Serif" w:hAnsi="Liberation Serif"/>
          <w:bCs/>
        </w:rPr>
        <w:t>оборот розничной торговли за 2021 год составил 10 791,6 миллиона рублей;</w:t>
      </w:r>
    </w:p>
    <w:p w:rsidR="0044340B" w:rsidRPr="00110D09" w:rsidRDefault="0044340B" w:rsidP="0044340B">
      <w:pPr>
        <w:tabs>
          <w:tab w:val="left" w:pos="0"/>
        </w:tabs>
        <w:suppressAutoHyphens/>
        <w:ind w:right="-1" w:firstLine="709"/>
        <w:jc w:val="both"/>
        <w:rPr>
          <w:rFonts w:ascii="Liberation Serif" w:hAnsi="Liberation Serif"/>
          <w:bCs/>
        </w:rPr>
      </w:pPr>
      <w:r w:rsidRPr="00110D09">
        <w:rPr>
          <w:rFonts w:ascii="Liberation Serif" w:hAnsi="Liberation Serif"/>
          <w:bCs/>
        </w:rPr>
        <w:t>оборот общественного питания составил в 2021 году 219,8 миллиона ру</w:t>
      </w:r>
      <w:r w:rsidRPr="00110D09">
        <w:rPr>
          <w:rFonts w:ascii="Liberation Serif" w:hAnsi="Liberation Serif"/>
          <w:bCs/>
        </w:rPr>
        <w:t>б</w:t>
      </w:r>
      <w:r w:rsidRPr="00110D09">
        <w:rPr>
          <w:rFonts w:ascii="Liberation Serif" w:hAnsi="Liberation Serif"/>
          <w:bCs/>
        </w:rPr>
        <w:t xml:space="preserve">лей. 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Оборот розничной торговли прогнозируется на основании индексов-дефляторов Свердловской области, с учетом дальнейшего восстановления предприятий розничной торговли и общественного питания, сохранения тенденции прироста розничной сети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за счет открытия универсальных магазинов в новых районах жилой застройки, продовольственных магазинов «шаговой доступности», а также специ</w:t>
      </w:r>
      <w:r w:rsidRPr="00110D09">
        <w:rPr>
          <w:rFonts w:ascii="Liberation Serif" w:hAnsi="Liberation Serif"/>
        </w:rPr>
        <w:t>а</w:t>
      </w:r>
      <w:r w:rsidRPr="00110D09">
        <w:rPr>
          <w:rFonts w:ascii="Liberation Serif" w:hAnsi="Liberation Serif"/>
        </w:rPr>
        <w:t>лизированных непродовольственных магазинов. Темпы роста оборота обществе</w:t>
      </w:r>
      <w:r w:rsidRPr="00110D09">
        <w:rPr>
          <w:rFonts w:ascii="Liberation Serif" w:hAnsi="Liberation Serif"/>
        </w:rPr>
        <w:t>н</w:t>
      </w:r>
      <w:r w:rsidRPr="00110D09">
        <w:rPr>
          <w:rFonts w:ascii="Liberation Serif" w:hAnsi="Liberation Serif"/>
        </w:rPr>
        <w:t>ного питания, как более инертной отрасли, значительно ниже темпов роста оборота предприятий розничной торговли.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 xml:space="preserve">Потребительский рынок городского округа насчитывает 865 объектов. Обслуживанием населения занимаются 436 индивидуальных предпринимателя и 178 юридических лиц. Товарооборот розничной торговли за 2021 год (без субъектов малого предпринимательства) составил 10 791,6 миллиона рублей, или 125,2 % по отношению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 xml:space="preserve">к 2020 году. Товарооборот общественного питания за 2021 год (без субъектов малого предпринимательства) составил 219,6 миллиона рублей, или 128,6 % по отношению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>к 2020 году.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  <w:highlight w:val="yellow"/>
        </w:rPr>
      </w:pPr>
      <w:r w:rsidRPr="00110D09">
        <w:rPr>
          <w:rFonts w:ascii="Liberation Serif" w:hAnsi="Liberation Serif" w:cs="Liberation Serif"/>
        </w:rPr>
        <w:t xml:space="preserve">При этом в течение 2021 года на территории городского округа открыто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 xml:space="preserve">89 объектов потребительского рынка, в том числе 49 магазинов, 13 организаций общественного питания, 27 организаций бытового обслуживания населения. Продолжена работа по ведению и формированию торгового реестра Свердловской области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>на территории городского округа.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 xml:space="preserve">В 2021 году на территории городского округа осуществляли деятельность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>497 предприятий розничной торговли общей площадью 92 068,72 кв. м. Торговая площадь составляет 58 040,42 кв. м. По сравнению с прошлым годом торговая площадь увеличилась на 4 613,5 кв. м. Обеспеченность торговыми площадями стационарных торговых объектов составляет 626,9 кв. м на 1 000 жителей при нормативе 448,2 кв. м.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 xml:space="preserve">По состоянию на 01.01.2022 в городском округе осуществляют деятельность 116 предприятий общественного питания на 8 700 посадочных мест, из них 52 объекта общедоступной сети на 1 784 посадочных места. Обеспеченность площадями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 xml:space="preserve">в предприятиях общественного питания общедоступной сети – 85,5 кв. м </w:t>
      </w:r>
      <w:r>
        <w:rPr>
          <w:rFonts w:ascii="Liberation Serif" w:hAnsi="Liberation Serif" w:cs="Liberation Serif"/>
        </w:rPr>
        <w:br/>
      </w:r>
      <w:r w:rsidRPr="00110D09">
        <w:rPr>
          <w:rFonts w:ascii="Liberation Serif" w:hAnsi="Liberation Serif" w:cs="Liberation Serif"/>
        </w:rPr>
        <w:t>на 1 000 жителей. Показатель обеспеченности площадями по Свердловской области на 2022 год составляет 72,8 кв. м.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rPr>
          <w:rFonts w:ascii="Liberation Serif" w:hAnsi="Liberation Serif" w:cs="Liberation Serif"/>
          <w:highlight w:val="yellow"/>
        </w:rPr>
      </w:pPr>
      <w:r w:rsidRPr="00110D09">
        <w:rPr>
          <w:rFonts w:ascii="Liberation Serif" w:hAnsi="Liberation Serif" w:cs="Liberation Serif"/>
        </w:rPr>
        <w:t xml:space="preserve">Осуществляют деятельность 252 предприятия бытового обслуживания, их общая площадь составляет 60 886,9 кв. м. Наиболее востребованными видами услуг остаются ремонт обуви, ремонт бытовой техники, парикмахерские услуги, фотоуслуги, услуги </w:t>
      </w:r>
      <w:r w:rsidRPr="00110D09">
        <w:rPr>
          <w:rFonts w:ascii="Liberation Serif" w:hAnsi="Liberation Serif" w:cs="Liberation Serif"/>
        </w:rPr>
        <w:lastRenderedPageBreak/>
        <w:t>приемного пункта химчистки, техническое обслуживание и ремонт автотранспортных средств.</w:t>
      </w:r>
    </w:p>
    <w:p w:rsidR="0044340B" w:rsidRDefault="0044340B" w:rsidP="0044340B">
      <w:pPr>
        <w:suppressAutoHyphens/>
        <w:jc w:val="center"/>
        <w:rPr>
          <w:rFonts w:ascii="Liberation Serif" w:hAnsi="Liberation Serif"/>
          <w:b/>
        </w:rPr>
      </w:pPr>
      <w:r w:rsidRPr="00110D09">
        <w:rPr>
          <w:rFonts w:ascii="Liberation Serif" w:hAnsi="Liberation Serif"/>
          <w:b/>
        </w:rPr>
        <w:t xml:space="preserve">Раздел </w:t>
      </w:r>
      <w:r w:rsidRPr="00110D09">
        <w:rPr>
          <w:rFonts w:ascii="Liberation Serif" w:hAnsi="Liberation Serif"/>
          <w:b/>
          <w:lang w:val="en-US"/>
        </w:rPr>
        <w:t>VI</w:t>
      </w:r>
      <w:r w:rsidRPr="00110D09">
        <w:rPr>
          <w:rFonts w:ascii="Liberation Serif" w:hAnsi="Liberation Serif"/>
          <w:b/>
        </w:rPr>
        <w:t>. Демографическая ситуация</w:t>
      </w:r>
    </w:p>
    <w:p w:rsidR="0044340B" w:rsidRPr="00110D09" w:rsidRDefault="0044340B" w:rsidP="0044340B">
      <w:pPr>
        <w:suppressAutoHyphens/>
        <w:jc w:val="center"/>
        <w:rPr>
          <w:rFonts w:ascii="Liberation Serif" w:hAnsi="Liberation Serif"/>
          <w:b/>
        </w:rPr>
      </w:pP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/>
        </w:rPr>
        <w:t>По данным Управления Федеральной службы государственной статистики по Свердловской области и Курганской области численность населения городского округа Верхняя Пышма на 01.01.2022 года составила 90 210 человека,</w:t>
      </w:r>
      <w:r w:rsidRPr="00110D09">
        <w:rPr>
          <w:rFonts w:ascii="Liberation Serif" w:hAnsi="Liberation Serif" w:cs="Liberation Serif"/>
        </w:rPr>
        <w:t xml:space="preserve"> в том числе городского населения – 76 389 человек (84,7 процента), сельского – 13 821 человека (15,3 процента).</w:t>
      </w:r>
      <w:r w:rsidRPr="00110D09">
        <w:rPr>
          <w:rFonts w:ascii="Liberation Serif" w:hAnsi="Liberation Serif"/>
        </w:rPr>
        <w:t xml:space="preserve"> Данные по основным возрастным категориям в п</w:t>
      </w:r>
      <w:r w:rsidRPr="00110D09">
        <w:rPr>
          <w:rFonts w:ascii="Liberation Serif" w:hAnsi="Liberation Serif"/>
        </w:rPr>
        <w:t>е</w:t>
      </w:r>
      <w:r w:rsidRPr="00110D09">
        <w:rPr>
          <w:rFonts w:ascii="Liberation Serif" w:hAnsi="Liberation Serif"/>
        </w:rPr>
        <w:t>риод с 2023 по 2025 годы получены расчетным путем от имеющихся на 01.01.2022 статистических данных.</w:t>
      </w:r>
    </w:p>
    <w:p w:rsidR="0044340B" w:rsidRPr="00110D09" w:rsidRDefault="0044340B" w:rsidP="0044340B">
      <w:pPr>
        <w:shd w:val="clear" w:color="auto" w:fill="FFFFFF"/>
        <w:suppressAutoHyphens/>
        <w:ind w:firstLine="709"/>
        <w:contextualSpacing/>
        <w:jc w:val="both"/>
        <w:textAlignment w:val="baseline"/>
        <w:outlineLvl w:val="0"/>
        <w:rPr>
          <w:rFonts w:ascii="Liberation Serif" w:hAnsi="Liberation Serif" w:cs="Liberation Serif"/>
        </w:rPr>
      </w:pPr>
      <w:r w:rsidRPr="00110D09">
        <w:rPr>
          <w:rFonts w:ascii="Liberation Serif" w:hAnsi="Liberation Serif" w:cs="Liberation Serif"/>
        </w:rPr>
        <w:t xml:space="preserve">Эпидемиологическая ситуация, связанная с распространением новой коронавирусной инфекции, оказала существенное негативное влияние на показатели рождаемости и смертности населения. На изменение численности населения в 2021 году, также, как и в 2020 году влияние естественная убыль населения (258 человек) и миграционный прирост (2 306 человек). Миграционный прирост отражает привлекательность территории городского округа для проживания граждан. </w:t>
      </w:r>
    </w:p>
    <w:p w:rsidR="0044340B" w:rsidRPr="00110D09" w:rsidRDefault="0044340B" w:rsidP="0044340B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Оценка и прогноз демографической ситуации составлены исходя из предп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сылок, что демографическая с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 xml:space="preserve">туация в городском округе Верхняя Пышма в 2023 - 2025 годах будет развиваться под влиянием сложившихся тенденций и с учетом продолжающегося интенсивного жилищного строительства на территории городского округа </w:t>
      </w:r>
      <w:r w:rsidRPr="00110D09">
        <w:rPr>
          <w:rFonts w:ascii="Liberation Serif" w:eastAsia="Calibri" w:hAnsi="Liberation Serif"/>
          <w:lang w:eastAsia="en-US"/>
        </w:rPr>
        <w:t>как на вновь осваиваемых площадках, так и в рамках развития застроенных территорий со сносом ветхого и изношенного жилья</w:t>
      </w:r>
      <w:r w:rsidRPr="00110D09">
        <w:rPr>
          <w:rFonts w:ascii="Liberation Serif" w:hAnsi="Liberation Serif"/>
        </w:rPr>
        <w:t>. Показатели на 2023 - 2025 годы спрогноз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рованы в сторону небольшого увеличения численности постоянн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>го населения, без учета данных Всероссийской переписи населения 2020 года. Численность постоянного населения городского округа Верхняя Пышма к 2025 году прогноз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>руется на уровне 97,6 тысячи человек.</w:t>
      </w:r>
    </w:p>
    <w:p w:rsidR="0044340B" w:rsidRPr="00110D09" w:rsidRDefault="0044340B" w:rsidP="0044340B">
      <w:pPr>
        <w:pStyle w:val="21"/>
        <w:suppressAutoHyphens/>
        <w:ind w:firstLine="0"/>
        <w:jc w:val="center"/>
        <w:rPr>
          <w:rFonts w:ascii="Liberation Serif" w:hAnsi="Liberation Serif"/>
          <w:b/>
          <w:sz w:val="24"/>
          <w:szCs w:val="24"/>
          <w:highlight w:val="yellow"/>
        </w:rPr>
      </w:pPr>
    </w:p>
    <w:p w:rsidR="0044340B" w:rsidRDefault="0044340B" w:rsidP="0044340B">
      <w:pPr>
        <w:pStyle w:val="21"/>
        <w:suppressAutoHyphens/>
        <w:ind w:firstLine="0"/>
        <w:jc w:val="center"/>
        <w:rPr>
          <w:rFonts w:ascii="Liberation Serif" w:hAnsi="Liberation Serif"/>
          <w:b/>
          <w:sz w:val="24"/>
          <w:szCs w:val="24"/>
        </w:rPr>
      </w:pPr>
      <w:r w:rsidRPr="00110D09">
        <w:rPr>
          <w:rFonts w:ascii="Liberation Serif" w:hAnsi="Liberation Serif"/>
          <w:b/>
          <w:sz w:val="24"/>
          <w:szCs w:val="24"/>
        </w:rPr>
        <w:t xml:space="preserve">Раздел </w:t>
      </w:r>
      <w:r w:rsidRPr="00110D09">
        <w:rPr>
          <w:rFonts w:ascii="Liberation Serif" w:hAnsi="Liberation Serif"/>
          <w:b/>
          <w:sz w:val="24"/>
          <w:szCs w:val="24"/>
          <w:lang w:val="en-US"/>
        </w:rPr>
        <w:t>VII</w:t>
      </w:r>
      <w:r w:rsidRPr="00110D09">
        <w:rPr>
          <w:rFonts w:ascii="Liberation Serif" w:hAnsi="Liberation Serif"/>
          <w:b/>
          <w:sz w:val="24"/>
          <w:szCs w:val="24"/>
        </w:rPr>
        <w:t>I. Трудовые ресурсы</w:t>
      </w:r>
    </w:p>
    <w:p w:rsidR="0044340B" w:rsidRPr="00110D09" w:rsidRDefault="0044340B" w:rsidP="0044340B">
      <w:pPr>
        <w:pStyle w:val="21"/>
        <w:suppressAutoHyphens/>
        <w:ind w:firstLine="0"/>
        <w:jc w:val="center"/>
        <w:rPr>
          <w:rFonts w:ascii="Liberation Serif" w:hAnsi="Liberation Serif"/>
          <w:b/>
          <w:sz w:val="24"/>
          <w:szCs w:val="24"/>
        </w:rPr>
      </w:pPr>
    </w:p>
    <w:p w:rsidR="0044340B" w:rsidRPr="00110D09" w:rsidRDefault="0044340B" w:rsidP="0044340B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Среднесписочная численность занятых в экономике в 2022 году по оценке с</w:t>
      </w:r>
      <w:r w:rsidRPr="00110D09">
        <w:rPr>
          <w:rFonts w:ascii="Liberation Serif" w:hAnsi="Liberation Serif"/>
        </w:rPr>
        <w:t>о</w:t>
      </w:r>
      <w:r w:rsidRPr="00110D09">
        <w:rPr>
          <w:rFonts w:ascii="Liberation Serif" w:hAnsi="Liberation Serif"/>
        </w:rPr>
        <w:t xml:space="preserve">ставит 22,5 тысячи человек (без учета иногородних жителей, въезжающих на работу в городской округ Верхняя Пышма). 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 xml:space="preserve">В 2022 году в рамках консервативного сценария развития экономики городского округа Верхняя Пышма уровень безработицы составит 1,07 процента, что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 xml:space="preserve">на 10,8 процента уровня 2021 года. В среднесрочной перспективе на ситуацию на рынке труда и занятость населения влияние окажет условия внешнего санкционного давления,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а также продолжит оказывать влияние поэтапное повышение пенсионного возраста.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При составлении прогноза использовались Методические рекомендации Министерства экономики Свердловской области, данные Управления Федеральной службы государственной статистики по Свердловской области и Курганской области, информация, предоставленная участниками разработки прогноза – предприятиями, осуществляющими хозяйс</w:t>
      </w:r>
      <w:r w:rsidRPr="00110D09">
        <w:rPr>
          <w:rFonts w:ascii="Liberation Serif" w:hAnsi="Liberation Serif"/>
        </w:rPr>
        <w:t>т</w:t>
      </w:r>
      <w:r w:rsidRPr="00110D09">
        <w:rPr>
          <w:rFonts w:ascii="Liberation Serif" w:hAnsi="Liberation Serif"/>
        </w:rPr>
        <w:t>венную деятельность на территории городского округа Верхняя Пышма.</w:t>
      </w:r>
    </w:p>
    <w:p w:rsidR="0044340B" w:rsidRPr="00110D09" w:rsidRDefault="0044340B" w:rsidP="0044340B">
      <w:pPr>
        <w:suppressAutoHyphens/>
        <w:ind w:firstLine="709"/>
        <w:jc w:val="both"/>
        <w:rPr>
          <w:rFonts w:ascii="Liberation Serif" w:hAnsi="Liberation Serif"/>
        </w:rPr>
      </w:pPr>
      <w:r w:rsidRPr="00110D09">
        <w:rPr>
          <w:rFonts w:ascii="Liberation Serif" w:hAnsi="Liberation Serif"/>
        </w:rPr>
        <w:t>Основными приоритетами экономической политики в прогнозируемом п</w:t>
      </w:r>
      <w:r w:rsidRPr="00110D09">
        <w:rPr>
          <w:rFonts w:ascii="Liberation Serif" w:hAnsi="Liberation Serif"/>
        </w:rPr>
        <w:t>е</w:t>
      </w:r>
      <w:r w:rsidRPr="00110D09">
        <w:rPr>
          <w:rFonts w:ascii="Liberation Serif" w:hAnsi="Liberation Serif"/>
        </w:rPr>
        <w:t>риоде являются: восстановление экономики в связи с распространением новой коронавирусной инфекции, а также последствия секционного давления за счет повышения э</w:t>
      </w:r>
      <w:r w:rsidRPr="00110D09">
        <w:rPr>
          <w:rFonts w:ascii="Liberation Serif" w:hAnsi="Liberation Serif"/>
        </w:rPr>
        <w:t>ф</w:t>
      </w:r>
      <w:r w:rsidRPr="00110D09">
        <w:rPr>
          <w:rFonts w:ascii="Liberation Serif" w:hAnsi="Liberation Serif"/>
        </w:rPr>
        <w:t>фективности и роста производительности труда на действующих предприятиях, повышение конкурентоспособности и эффективности бизнеса, развитие инновац</w:t>
      </w:r>
      <w:r w:rsidRPr="00110D09">
        <w:rPr>
          <w:rFonts w:ascii="Liberation Serif" w:hAnsi="Liberation Serif"/>
        </w:rPr>
        <w:t>и</w:t>
      </w:r>
      <w:r w:rsidRPr="00110D09">
        <w:rPr>
          <w:rFonts w:ascii="Liberation Serif" w:hAnsi="Liberation Serif"/>
        </w:rPr>
        <w:t xml:space="preserve">онного </w:t>
      </w:r>
      <w:r>
        <w:rPr>
          <w:rFonts w:ascii="Liberation Serif" w:hAnsi="Liberation Serif"/>
        </w:rPr>
        <w:br/>
      </w:r>
      <w:r w:rsidRPr="00110D09">
        <w:rPr>
          <w:rFonts w:ascii="Liberation Serif" w:hAnsi="Liberation Serif"/>
        </w:rPr>
        <w:t>и производственного малого и среднего бизнеса, дальнейшее сохранение обеспеченности социального сектора экономики, повышение стандартов и уровня жизни населения.</w:t>
      </w:r>
    </w:p>
    <w:p w:rsidR="00C654E3" w:rsidRDefault="00C654E3">
      <w:bookmarkStart w:id="0" w:name="_GoBack"/>
      <w:bookmarkEnd w:id="0"/>
    </w:p>
    <w:sectPr w:rsidR="00C654E3" w:rsidSect="003E2731">
      <w:footerReference w:type="even" r:id="rId4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A8C" w:rsidRDefault="0044340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6A8C" w:rsidRDefault="0044340B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11"/>
    <w:rsid w:val="003B3E11"/>
    <w:rsid w:val="0044340B"/>
    <w:rsid w:val="00C654E3"/>
    <w:rsid w:val="00E5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9C0AC-EB7C-450C-A1F6-2441CDBE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56B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44340B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443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44340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443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4340B"/>
  </w:style>
  <w:style w:type="paragraph" w:styleId="2">
    <w:name w:val="Body Text 2"/>
    <w:basedOn w:val="a"/>
    <w:link w:val="20"/>
    <w:rsid w:val="0044340B"/>
    <w:rPr>
      <w:b/>
      <w:i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4340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Indent 2"/>
    <w:basedOn w:val="a"/>
    <w:link w:val="22"/>
    <w:rsid w:val="0044340B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43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link w:val="a9"/>
    <w:uiPriority w:val="99"/>
    <w:rsid w:val="0044340B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340B"/>
    <w:rPr>
      <w:b/>
      <w:bCs/>
    </w:rPr>
  </w:style>
  <w:style w:type="paragraph" w:styleId="ab">
    <w:name w:val="annotation text"/>
    <w:basedOn w:val="a"/>
    <w:link w:val="ac"/>
    <w:uiPriority w:val="99"/>
    <w:unhideWhenUsed/>
    <w:rsid w:val="004434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43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locked/>
    <w:rsid w:val="00443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qFormat/>
    <w:rsid w:val="0044340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"/>
    <w:locked/>
    <w:rsid w:val="0044340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4848</Words>
  <Characters>27640</Characters>
  <Application>Microsoft Office Word</Application>
  <DocSecurity>0</DocSecurity>
  <Lines>230</Lines>
  <Paragraphs>64</Paragraphs>
  <ScaleCrop>false</ScaleCrop>
  <Company/>
  <LinksUpToDate>false</LinksUpToDate>
  <CharactersWithSpaces>32424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2022-12-22T07:09:00Z</dcterms:created>
  <dcterms:modified xsi:type="dcterms:W3CDTF">2022-12-22T07:11:00Z</dcterms:modified>
</cp:coreProperties>
</file>