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D1" w:rsidRPr="006573DD" w:rsidRDefault="002477D1" w:rsidP="006573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32"/>
          <w:szCs w:val="32"/>
          <w:lang w:eastAsia="ru-RU"/>
        </w:rPr>
      </w:pPr>
      <w:r w:rsidRPr="002477D1">
        <w:rPr>
          <w:rFonts w:ascii="Liberation Serif" w:eastAsia="Calibri" w:hAnsi="Liberation Serif" w:cs="Times New Roman"/>
          <w:b/>
          <w:sz w:val="32"/>
          <w:szCs w:val="32"/>
          <w:lang w:eastAsia="ru-RU"/>
        </w:rPr>
        <w:t>Пояснительная записка</w:t>
      </w:r>
    </w:p>
    <w:p w:rsidR="002477D1" w:rsidRDefault="006573DD" w:rsidP="006573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32"/>
          <w:szCs w:val="32"/>
          <w:lang w:eastAsia="ru-RU"/>
        </w:rPr>
      </w:pPr>
      <w:r>
        <w:rPr>
          <w:rFonts w:ascii="Liberation Serif" w:eastAsia="Calibri" w:hAnsi="Liberation Serif" w:cs="Times New Roman"/>
          <w:sz w:val="32"/>
          <w:szCs w:val="32"/>
          <w:lang w:eastAsia="ru-RU"/>
        </w:rPr>
        <w:t>________________________________</w:t>
      </w:r>
    </w:p>
    <w:p w:rsidR="006573DD" w:rsidRPr="006573DD" w:rsidRDefault="006573DD" w:rsidP="006573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0"/>
          <w:szCs w:val="20"/>
          <w:lang w:eastAsia="ru-RU"/>
        </w:rPr>
      </w:pPr>
      <w:bookmarkStart w:id="0" w:name="_GoBack"/>
      <w:r w:rsidRPr="006573DD">
        <w:rPr>
          <w:rFonts w:ascii="Liberation Serif" w:eastAsia="Calibri" w:hAnsi="Liberation Serif" w:cs="Times New Roman"/>
          <w:sz w:val="20"/>
          <w:szCs w:val="20"/>
          <w:lang w:eastAsia="ru-RU"/>
        </w:rPr>
        <w:t>(наименование проекта акта)</w:t>
      </w:r>
    </w:p>
    <w:bookmarkEnd w:id="0"/>
    <w:p w:rsidR="00CD72B2" w:rsidRDefault="00CD72B2" w:rsidP="00CD72B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CD72B2" w:rsidRPr="00CD72B2" w:rsidRDefault="00CD72B2" w:rsidP="00CD72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 </w:t>
      </w:r>
      <w:r w:rsidR="002477D1" w:rsidRPr="00CD72B2">
        <w:rPr>
          <w:rFonts w:ascii="Liberation Serif" w:eastAsia="Calibri" w:hAnsi="Liberation Serif" w:cs="Times New Roman"/>
          <w:sz w:val="28"/>
          <w:szCs w:val="28"/>
          <w:lang w:eastAsia="ru-RU"/>
        </w:rPr>
        <w:t>С</w:t>
      </w:r>
      <w:r w:rsidR="002477D1" w:rsidRPr="00CD72B2">
        <w:rPr>
          <w:rFonts w:ascii="Liberation Serif" w:eastAsia="Calibri" w:hAnsi="Liberation Serif" w:cs="Times New Roman"/>
          <w:sz w:val="28"/>
          <w:szCs w:val="28"/>
          <w:lang w:eastAsia="ru-RU"/>
        </w:rPr>
        <w:t>тепень регулир</w:t>
      </w:r>
      <w:r w:rsidR="00DF6569" w:rsidRPr="00CD72B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ующего воздействия проекта акта: </w:t>
      </w:r>
      <w:r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CD72B2" w:rsidRDefault="00DF6569" w:rsidP="00CD7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D72B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Обоснование отнесения проекта акта к определенной степени регулирующего воздействия: </w:t>
      </w:r>
      <w:r w:rsidR="00CD72B2" w:rsidRPr="00CD72B2">
        <w:rPr>
          <w:rFonts w:ascii="Liberation Serif" w:eastAsia="Calibri" w:hAnsi="Liberation Serif" w:cs="Times New Roman"/>
          <w:sz w:val="28"/>
          <w:szCs w:val="28"/>
          <w:lang w:eastAsia="ru-RU"/>
        </w:rPr>
        <w:t>(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место для текстового описания</w:t>
      </w:r>
      <w:r w:rsidR="00CD72B2" w:rsidRPr="00CD72B2">
        <w:rPr>
          <w:rFonts w:ascii="Liberation Serif" w:eastAsia="Calibri" w:hAnsi="Liberation Serif" w:cs="Times New Roman"/>
          <w:sz w:val="28"/>
          <w:szCs w:val="28"/>
          <w:lang w:eastAsia="ru-RU"/>
        </w:rPr>
        <w:t>)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</w:p>
    <w:p w:rsidR="00CD72B2" w:rsidRDefault="002477D1" w:rsidP="0024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2</w:t>
      </w:r>
      <w:r w:rsidR="00DF6569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 </w:t>
      </w:r>
      <w:r w:rsidR="00DF6569">
        <w:rPr>
          <w:rFonts w:ascii="Liberation Serif" w:eastAsia="Calibri" w:hAnsi="Liberation Serif" w:cs="Times New Roman"/>
          <w:sz w:val="28"/>
          <w:szCs w:val="28"/>
          <w:lang w:eastAsia="ru-RU"/>
        </w:rPr>
        <w:t>О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писание проблемы, на решение которой направлено муниципальное регулирование, оценку негативных эффектов, возникающих в связи с на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личием рассматриваемой проблемы:</w:t>
      </w:r>
      <w:r w:rsidR="00DF656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 w:rsid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2477D1" w:rsidRPr="002477D1" w:rsidRDefault="002477D1" w:rsidP="0024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3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 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С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сылк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а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на нормативные правовые акты или их отдельные положения, в соответствии с которыми осуществляется муниципальное регулирование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: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 xml:space="preserve"> 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 w:rsid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2477D1" w:rsidRPr="002477D1" w:rsidRDefault="002477D1" w:rsidP="002477D1">
      <w:pPr>
        <w:spacing w:after="0" w:line="240" w:lineRule="auto"/>
        <w:ind w:right="-3"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477D1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</w:t>
      </w:r>
      <w:r w:rsidR="00CD72B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Pr="002477D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ведения об основных группах субъектов предпринимательской и иной экономической деятельности, органах местного самоуправления, отношения с участием которых предлагается урегулировать в таких проектах муниципальных нормативно-правовых актах, оц</w:t>
      </w:r>
      <w:r w:rsidR="00CD72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енка количества таких субъектов: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 xml:space="preserve"> 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 w:rsid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2477D1" w:rsidRPr="002477D1" w:rsidRDefault="002477D1" w:rsidP="002477D1">
      <w:pPr>
        <w:spacing w:after="0" w:line="240" w:lineRule="auto"/>
        <w:ind w:right="-3"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477D1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</w:t>
      </w:r>
      <w:r w:rsidR="00CD72B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Pr="002477D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ведения о положениях, вводящих обязанности, запреты и ограничения для субъектов предпринимательской и иной экономической деятельности или способствующих их введению, а также о положениях, способствующих возникновению расходов субъектов предпринимательской и иной экономической деятельности, и бюджета городского округа</w:t>
      </w:r>
      <w:r w:rsidR="00CD72B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 xml:space="preserve"> 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 w:rsid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2477D1" w:rsidRPr="002477D1" w:rsidRDefault="002477D1" w:rsidP="0024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6) 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О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ценку расходов субъектов предпринимательской и иной экономической деятельности в случае, когда реализация проекта акта будет способствова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ть возникновению таких расходов: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 xml:space="preserve"> 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 w:rsid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2477D1" w:rsidRPr="002477D1" w:rsidRDefault="002477D1" w:rsidP="0024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7) 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О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жидаемые результаты и риски решения проблемы предложенным способом муниципального регулировани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я, риски негативных последствий: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 xml:space="preserve"> 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 w:rsid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2477D1" w:rsidRPr="002477D1" w:rsidRDefault="002477D1" w:rsidP="0024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8) 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П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редполагаемую дату вступления в силу проекта акта, необходимость установления переходного периода, распространения его действия на ранее возникшие отношения;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 xml:space="preserve"> 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 w:rsid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2477D1" w:rsidRPr="002477D1" w:rsidRDefault="002477D1" w:rsidP="002477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9) </w:t>
      </w:r>
      <w:r w:rsidR="00CD72B2">
        <w:rPr>
          <w:rFonts w:ascii="Liberation Serif" w:eastAsia="Calibri" w:hAnsi="Liberation Serif" w:cs="Times New Roman"/>
          <w:sz w:val="28"/>
          <w:szCs w:val="28"/>
          <w:lang w:eastAsia="ru-RU"/>
        </w:rPr>
        <w:t>И</w:t>
      </w:r>
      <w:r w:rsidRPr="002477D1">
        <w:rPr>
          <w:rFonts w:ascii="Liberation Serif" w:eastAsia="Calibri" w:hAnsi="Liberation Serif" w:cs="Times New Roman"/>
          <w:sz w:val="28"/>
          <w:szCs w:val="28"/>
          <w:lang w:eastAsia="ru-RU"/>
        </w:rPr>
        <w:t>ные сведения, которые, по мнению разработчика проекта акта, позволяют оценить обоснованность предлагаемого способа муниципального регулирования.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 xml:space="preserve"> </w:t>
      </w:r>
      <w:r w:rsidR="00CD72B2" w:rsidRP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(место для текстового описания)</w:t>
      </w:r>
      <w:r w:rsidR="00CD72B2">
        <w:rPr>
          <w:rFonts w:ascii="Liberation Serif" w:eastAsia="Calibri" w:hAnsi="Liberation Serif" w:cs="Times New Roman"/>
          <w:i/>
          <w:sz w:val="28"/>
          <w:szCs w:val="28"/>
          <w:lang w:eastAsia="ru-RU"/>
        </w:rPr>
        <w:t>.</w:t>
      </w:r>
    </w:p>
    <w:p w:rsidR="00E961FE" w:rsidRPr="002477D1" w:rsidRDefault="00E961FE">
      <w:pPr>
        <w:rPr>
          <w:sz w:val="28"/>
          <w:szCs w:val="28"/>
        </w:rPr>
      </w:pPr>
    </w:p>
    <w:p w:rsidR="002477D1" w:rsidRPr="002477D1" w:rsidRDefault="002477D1">
      <w:pPr>
        <w:rPr>
          <w:sz w:val="28"/>
          <w:szCs w:val="28"/>
        </w:rPr>
      </w:pPr>
    </w:p>
    <w:sectPr w:rsidR="002477D1" w:rsidRPr="0024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D243E"/>
    <w:multiLevelType w:val="hybridMultilevel"/>
    <w:tmpl w:val="A3743520"/>
    <w:lvl w:ilvl="0" w:tplc="17F45A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E2"/>
    <w:rsid w:val="002477D1"/>
    <w:rsid w:val="006573DD"/>
    <w:rsid w:val="007C10E2"/>
    <w:rsid w:val="00A9152D"/>
    <w:rsid w:val="00CD72B2"/>
    <w:rsid w:val="00DF6569"/>
    <w:rsid w:val="00E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32ECA-4F1E-4BCB-B363-F635559A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5</cp:revision>
  <dcterms:created xsi:type="dcterms:W3CDTF">2022-09-07T05:24:00Z</dcterms:created>
  <dcterms:modified xsi:type="dcterms:W3CDTF">2022-09-07T05:35:00Z</dcterms:modified>
</cp:coreProperties>
</file>