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52"/>
        <w:gridCol w:w="1276"/>
        <w:gridCol w:w="850"/>
        <w:gridCol w:w="851"/>
        <w:gridCol w:w="850"/>
        <w:gridCol w:w="851"/>
        <w:gridCol w:w="850"/>
        <w:gridCol w:w="992"/>
        <w:gridCol w:w="851"/>
        <w:gridCol w:w="992"/>
        <w:gridCol w:w="992"/>
        <w:gridCol w:w="3828"/>
      </w:tblGrid>
      <w:tr w:rsidR="004D3023" w:rsidRPr="00496CEE" w:rsidTr="00DB7B4B">
        <w:trPr>
          <w:trHeight w:val="1399"/>
        </w:trPr>
        <w:tc>
          <w:tcPr>
            <w:tcW w:w="15735" w:type="dxa"/>
            <w:gridSpan w:val="13"/>
            <w:shd w:val="clear" w:color="auto" w:fill="auto"/>
            <w:vAlign w:val="bottom"/>
            <w:hideMark/>
          </w:tcPr>
          <w:p w:rsidR="004D3023" w:rsidRPr="00496CEE" w:rsidRDefault="004D3023" w:rsidP="00C407E5">
            <w:pPr>
              <w:spacing w:after="240" w:line="240" w:lineRule="auto"/>
              <w:ind w:right="34"/>
              <w:jc w:val="right"/>
              <w:rPr>
                <w:rFonts w:eastAsia="Times New Roman" w:cs="Arial"/>
                <w:sz w:val="20"/>
                <w:szCs w:val="20"/>
                <w:lang w:eastAsia="ru-RU"/>
              </w:rPr>
            </w:pPr>
            <w:r w:rsidRPr="00496CEE">
              <w:rPr>
                <w:rFonts w:eastAsia="Times New Roman" w:cs="Arial"/>
                <w:sz w:val="20"/>
                <w:szCs w:val="20"/>
                <w:lang w:eastAsia="ru-RU"/>
              </w:rPr>
              <w:t xml:space="preserve">К постановлению администрации </w:t>
            </w:r>
            <w:r w:rsidRPr="00496CEE">
              <w:rPr>
                <w:rFonts w:eastAsia="Times New Roman" w:cs="Arial"/>
                <w:sz w:val="20"/>
                <w:szCs w:val="20"/>
                <w:lang w:eastAsia="ru-RU"/>
              </w:rPr>
              <w:br/>
              <w:t>городского округа Верхняя Пышма</w:t>
            </w:r>
            <w:r w:rsidRPr="00496CEE">
              <w:rPr>
                <w:rFonts w:eastAsia="Times New Roman" w:cs="Arial"/>
                <w:sz w:val="20"/>
                <w:szCs w:val="20"/>
                <w:lang w:eastAsia="ru-RU"/>
              </w:rPr>
              <w:br/>
              <w:t xml:space="preserve">от </w:t>
            </w:r>
            <w:r w:rsidR="00C407E5">
              <w:rPr>
                <w:rFonts w:eastAsia="Times New Roman" w:cs="Arial"/>
                <w:sz w:val="20"/>
                <w:szCs w:val="20"/>
                <w:lang w:eastAsia="ru-RU"/>
              </w:rPr>
              <w:t>30.12.2022</w:t>
            </w:r>
            <w:r w:rsidRPr="00496CEE">
              <w:rPr>
                <w:rFonts w:eastAsia="Times New Roman" w:cs="Arial"/>
                <w:sz w:val="20"/>
                <w:szCs w:val="20"/>
                <w:lang w:eastAsia="ru-RU"/>
              </w:rPr>
              <w:t xml:space="preserve"> № </w:t>
            </w:r>
            <w:r w:rsidR="00C407E5">
              <w:rPr>
                <w:rFonts w:eastAsia="Times New Roman" w:cs="Arial"/>
                <w:sz w:val="20"/>
                <w:szCs w:val="20"/>
                <w:lang w:eastAsia="ru-RU"/>
              </w:rPr>
              <w:t>1668</w:t>
            </w:r>
            <w:bookmarkStart w:id="0" w:name="_GoBack"/>
            <w:bookmarkEnd w:id="0"/>
            <w:r w:rsidRPr="00496CEE">
              <w:rPr>
                <w:rFonts w:eastAsia="Times New Roman" w:cs="Arial"/>
                <w:sz w:val="20"/>
                <w:szCs w:val="20"/>
                <w:lang w:eastAsia="ru-RU"/>
              </w:rPr>
              <w:br/>
            </w:r>
            <w:r w:rsidRPr="00496CEE">
              <w:rPr>
                <w:rFonts w:eastAsia="Times New Roman" w:cs="Arial"/>
                <w:sz w:val="20"/>
                <w:szCs w:val="20"/>
                <w:lang w:eastAsia="ru-RU"/>
              </w:rPr>
              <w:br/>
              <w:t>Приложение № 1</w:t>
            </w:r>
            <w:r w:rsidRPr="00496CEE">
              <w:rPr>
                <w:rFonts w:eastAsia="Times New Roman" w:cs="Arial"/>
                <w:sz w:val="20"/>
                <w:szCs w:val="20"/>
                <w:lang w:eastAsia="ru-RU"/>
              </w:rPr>
              <w:br/>
              <w:t xml:space="preserve">к муниципальной программе </w:t>
            </w:r>
            <w:r w:rsidRPr="00496CEE">
              <w:rPr>
                <w:rFonts w:eastAsia="Times New Roman" w:cs="Arial"/>
                <w:sz w:val="20"/>
                <w:szCs w:val="20"/>
                <w:lang w:eastAsia="ru-RU"/>
              </w:rPr>
              <w:br/>
              <w:t>«Развитие основных направлений социальной политики на территории</w:t>
            </w:r>
            <w:r w:rsidRPr="00496CEE">
              <w:rPr>
                <w:rFonts w:eastAsia="Times New Roman" w:cs="Arial"/>
                <w:sz w:val="20"/>
                <w:szCs w:val="20"/>
                <w:lang w:eastAsia="ru-RU"/>
              </w:rPr>
              <w:br/>
              <w:t>городского округа Верхняя Пышма до 2027 года"</w:t>
            </w:r>
          </w:p>
        </w:tc>
      </w:tr>
      <w:tr w:rsidR="004D3023" w:rsidRPr="00496CEE" w:rsidTr="00DB7B4B">
        <w:trPr>
          <w:trHeight w:val="876"/>
        </w:trPr>
        <w:tc>
          <w:tcPr>
            <w:tcW w:w="15735" w:type="dxa"/>
            <w:gridSpan w:val="13"/>
            <w:shd w:val="clear" w:color="auto" w:fill="auto"/>
            <w:noWrap/>
            <w:vAlign w:val="center"/>
            <w:hideMark/>
          </w:tcPr>
          <w:p w:rsidR="004D3023" w:rsidRPr="00496CEE" w:rsidRDefault="004D3023" w:rsidP="004D3023">
            <w:pPr>
              <w:spacing w:after="0" w:line="240" w:lineRule="auto"/>
              <w:jc w:val="center"/>
              <w:rPr>
                <w:rFonts w:eastAsia="Times New Roman" w:cs="Times New Roman"/>
                <w:b/>
                <w:bCs/>
                <w:lang w:eastAsia="ru-RU"/>
              </w:rPr>
            </w:pPr>
            <w:r w:rsidRPr="00496CEE">
              <w:rPr>
                <w:rFonts w:eastAsia="Times New Roman" w:cs="Times New Roman"/>
                <w:b/>
                <w:bCs/>
                <w:lang w:eastAsia="ru-RU"/>
              </w:rPr>
              <w:t>ЦЕЛИ, ЗАДАЧИ И ЦЕЛЕВЫЕ ПОКАЗАТЕЛИ</w:t>
            </w:r>
          </w:p>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реализации муниципальной программы</w:t>
            </w:r>
          </w:p>
          <w:p w:rsidR="004D3023" w:rsidRPr="00496CEE" w:rsidRDefault="004D3023" w:rsidP="004D3023">
            <w:pPr>
              <w:spacing w:after="0" w:line="240" w:lineRule="auto"/>
              <w:jc w:val="center"/>
              <w:rPr>
                <w:rFonts w:eastAsia="Times New Roman" w:cs="Times New Roman"/>
                <w:b/>
                <w:bCs/>
                <w:lang w:eastAsia="ru-RU"/>
              </w:rPr>
            </w:pPr>
            <w:r w:rsidRPr="00496CEE">
              <w:rPr>
                <w:rFonts w:eastAsia="Times New Roman" w:cs="Times New Roman"/>
                <w:sz w:val="20"/>
                <w:szCs w:val="20"/>
                <w:lang w:eastAsia="ru-RU"/>
              </w:rPr>
              <w:t>«Развитие основных направлений социальной политики на территории городского округа Верхняя Пышма до 2027 года»</w:t>
            </w:r>
          </w:p>
        </w:tc>
      </w:tr>
      <w:tr w:rsidR="004D3023" w:rsidRPr="00496CEE" w:rsidTr="00DB7B4B">
        <w:trPr>
          <w:trHeight w:val="390"/>
        </w:trPr>
        <w:tc>
          <w:tcPr>
            <w:tcW w:w="900" w:type="dxa"/>
            <w:vMerge w:val="restart"/>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 строки</w:t>
            </w:r>
          </w:p>
        </w:tc>
        <w:tc>
          <w:tcPr>
            <w:tcW w:w="1652" w:type="dxa"/>
            <w:vMerge w:val="restart"/>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Наименование цели (целей) и задач, целевых показателей</w:t>
            </w:r>
          </w:p>
        </w:tc>
        <w:tc>
          <w:tcPr>
            <w:tcW w:w="1276" w:type="dxa"/>
            <w:vMerge w:val="restart"/>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Единица измерения</w:t>
            </w:r>
          </w:p>
        </w:tc>
        <w:tc>
          <w:tcPr>
            <w:tcW w:w="8079" w:type="dxa"/>
            <w:gridSpan w:val="9"/>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Значение целевого показателя реализации муниципальной программы</w:t>
            </w:r>
          </w:p>
        </w:tc>
        <w:tc>
          <w:tcPr>
            <w:tcW w:w="3828" w:type="dxa"/>
            <w:vMerge w:val="restart"/>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Источник значений показателей</w:t>
            </w:r>
          </w:p>
        </w:tc>
      </w:tr>
      <w:tr w:rsidR="004D3023" w:rsidRPr="00496CEE" w:rsidTr="00DB7B4B">
        <w:trPr>
          <w:trHeight w:val="255"/>
        </w:trPr>
        <w:tc>
          <w:tcPr>
            <w:tcW w:w="900" w:type="dxa"/>
            <w:vMerge/>
            <w:vAlign w:val="center"/>
            <w:hideMark/>
          </w:tcPr>
          <w:p w:rsidR="004D3023" w:rsidRPr="00496CEE" w:rsidRDefault="004D3023" w:rsidP="004D3023">
            <w:pPr>
              <w:spacing w:after="0" w:line="240" w:lineRule="auto"/>
              <w:rPr>
                <w:rFonts w:eastAsia="Times New Roman" w:cs="Times New Roman"/>
                <w:b/>
                <w:bCs/>
                <w:sz w:val="20"/>
                <w:szCs w:val="20"/>
                <w:lang w:eastAsia="ru-RU"/>
              </w:rPr>
            </w:pPr>
          </w:p>
        </w:tc>
        <w:tc>
          <w:tcPr>
            <w:tcW w:w="1652" w:type="dxa"/>
            <w:vMerge/>
            <w:vAlign w:val="center"/>
            <w:hideMark/>
          </w:tcPr>
          <w:p w:rsidR="004D3023" w:rsidRPr="00496CEE" w:rsidRDefault="004D3023" w:rsidP="004D3023">
            <w:pPr>
              <w:spacing w:after="0" w:line="240" w:lineRule="auto"/>
              <w:rPr>
                <w:rFonts w:eastAsia="Times New Roman" w:cs="Times New Roman"/>
                <w:b/>
                <w:bCs/>
                <w:sz w:val="20"/>
                <w:szCs w:val="20"/>
                <w:lang w:eastAsia="ru-RU"/>
              </w:rPr>
            </w:pPr>
          </w:p>
        </w:tc>
        <w:tc>
          <w:tcPr>
            <w:tcW w:w="1276" w:type="dxa"/>
            <w:vMerge/>
            <w:vAlign w:val="center"/>
            <w:hideMark/>
          </w:tcPr>
          <w:p w:rsidR="004D3023" w:rsidRPr="00496CEE" w:rsidRDefault="004D3023" w:rsidP="004D3023">
            <w:pPr>
              <w:spacing w:after="0" w:line="240" w:lineRule="auto"/>
              <w:rPr>
                <w:rFonts w:eastAsia="Times New Roman" w:cs="Times New Roman"/>
                <w:b/>
                <w:bCs/>
                <w:sz w:val="20"/>
                <w:szCs w:val="20"/>
                <w:lang w:eastAsia="ru-RU"/>
              </w:rPr>
            </w:pPr>
          </w:p>
        </w:tc>
        <w:tc>
          <w:tcPr>
            <w:tcW w:w="850"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2019</w:t>
            </w:r>
          </w:p>
        </w:tc>
        <w:tc>
          <w:tcPr>
            <w:tcW w:w="851"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2020</w:t>
            </w:r>
          </w:p>
        </w:tc>
        <w:tc>
          <w:tcPr>
            <w:tcW w:w="850"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2021</w:t>
            </w:r>
          </w:p>
        </w:tc>
        <w:tc>
          <w:tcPr>
            <w:tcW w:w="851"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2022</w:t>
            </w:r>
          </w:p>
        </w:tc>
        <w:tc>
          <w:tcPr>
            <w:tcW w:w="850"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2023</w:t>
            </w:r>
          </w:p>
        </w:tc>
        <w:tc>
          <w:tcPr>
            <w:tcW w:w="992"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2024</w:t>
            </w:r>
          </w:p>
        </w:tc>
        <w:tc>
          <w:tcPr>
            <w:tcW w:w="851"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2025</w:t>
            </w:r>
          </w:p>
        </w:tc>
        <w:tc>
          <w:tcPr>
            <w:tcW w:w="992"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2026</w:t>
            </w:r>
          </w:p>
        </w:tc>
        <w:tc>
          <w:tcPr>
            <w:tcW w:w="992"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2027</w:t>
            </w:r>
          </w:p>
        </w:tc>
        <w:tc>
          <w:tcPr>
            <w:tcW w:w="3828" w:type="dxa"/>
            <w:vMerge/>
            <w:vAlign w:val="center"/>
            <w:hideMark/>
          </w:tcPr>
          <w:p w:rsidR="004D3023" w:rsidRPr="00496CEE" w:rsidRDefault="004D3023" w:rsidP="004D3023">
            <w:pPr>
              <w:spacing w:after="0" w:line="240" w:lineRule="auto"/>
              <w:rPr>
                <w:rFonts w:eastAsia="Times New Roman" w:cs="Times New Roman"/>
                <w:b/>
                <w:bCs/>
                <w:sz w:val="20"/>
                <w:szCs w:val="20"/>
                <w:lang w:eastAsia="ru-RU"/>
              </w:rPr>
            </w:pPr>
          </w:p>
        </w:tc>
      </w:tr>
      <w:tr w:rsidR="004D3023" w:rsidRPr="00496CEE" w:rsidTr="00DB7B4B">
        <w:trPr>
          <w:trHeight w:val="25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1</w:t>
            </w:r>
          </w:p>
        </w:tc>
        <w:tc>
          <w:tcPr>
            <w:tcW w:w="1652"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2</w:t>
            </w:r>
          </w:p>
        </w:tc>
        <w:tc>
          <w:tcPr>
            <w:tcW w:w="1276"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3</w:t>
            </w:r>
          </w:p>
        </w:tc>
        <w:tc>
          <w:tcPr>
            <w:tcW w:w="850"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4</w:t>
            </w:r>
          </w:p>
        </w:tc>
        <w:tc>
          <w:tcPr>
            <w:tcW w:w="851"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5</w:t>
            </w:r>
          </w:p>
        </w:tc>
        <w:tc>
          <w:tcPr>
            <w:tcW w:w="850"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6</w:t>
            </w:r>
          </w:p>
        </w:tc>
        <w:tc>
          <w:tcPr>
            <w:tcW w:w="851"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7</w:t>
            </w:r>
          </w:p>
        </w:tc>
        <w:tc>
          <w:tcPr>
            <w:tcW w:w="850"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8</w:t>
            </w:r>
          </w:p>
        </w:tc>
        <w:tc>
          <w:tcPr>
            <w:tcW w:w="992"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9</w:t>
            </w:r>
          </w:p>
        </w:tc>
        <w:tc>
          <w:tcPr>
            <w:tcW w:w="851"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10</w:t>
            </w:r>
          </w:p>
        </w:tc>
        <w:tc>
          <w:tcPr>
            <w:tcW w:w="992"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11</w:t>
            </w:r>
          </w:p>
        </w:tc>
        <w:tc>
          <w:tcPr>
            <w:tcW w:w="992"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12</w:t>
            </w:r>
          </w:p>
        </w:tc>
        <w:tc>
          <w:tcPr>
            <w:tcW w:w="3828" w:type="dxa"/>
            <w:shd w:val="clear" w:color="auto" w:fill="auto"/>
            <w:hideMark/>
          </w:tcPr>
          <w:p w:rsidR="004D3023" w:rsidRPr="00496CEE" w:rsidRDefault="004D3023" w:rsidP="004D3023">
            <w:pPr>
              <w:spacing w:after="0" w:line="240" w:lineRule="auto"/>
              <w:jc w:val="center"/>
              <w:rPr>
                <w:rFonts w:eastAsia="Times New Roman" w:cs="Times New Roman"/>
                <w:b/>
                <w:bCs/>
                <w:sz w:val="20"/>
                <w:szCs w:val="20"/>
                <w:lang w:eastAsia="ru-RU"/>
              </w:rPr>
            </w:pPr>
            <w:r w:rsidRPr="00496CEE">
              <w:rPr>
                <w:rFonts w:eastAsia="Times New Roman" w:cs="Times New Roman"/>
                <w:b/>
                <w:bCs/>
                <w:sz w:val="20"/>
                <w:szCs w:val="20"/>
                <w:lang w:eastAsia="ru-RU"/>
              </w:rPr>
              <w:t>13</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Подпрограмма 1. «Дополнительные меры социальной поддержки отдельных категорий граждан городского округа Верхняя Пышма до 2027 года»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Цель 1. Оказание дополнительных мер социальной поддержки отдельных категорий граждан городского округа Верхняя Пышма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1.1.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1.1. Предоставление гражданам и семьям, оказавшимся в трудной жизненной ситуации социальной поддержки в денежной форме</w:t>
            </w:r>
          </w:p>
        </w:tc>
      </w:tr>
      <w:tr w:rsidR="004D3023" w:rsidRPr="00496CEE" w:rsidTr="00DB7B4B">
        <w:trPr>
          <w:trHeight w:val="1547"/>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граждан, получивших дополнительные меры социальной поддержки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123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148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148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148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148</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Протокол заседания комиссии об оказании материальной </w:t>
            </w:r>
            <w:proofErr w:type="gramStart"/>
            <w:r w:rsidRPr="00496CEE">
              <w:rPr>
                <w:rFonts w:eastAsia="Times New Roman" w:cs="Times New Roman"/>
                <w:sz w:val="20"/>
                <w:szCs w:val="20"/>
                <w:lang w:eastAsia="ru-RU"/>
              </w:rPr>
              <w:t>помощи,  отчет</w:t>
            </w:r>
            <w:proofErr w:type="gramEnd"/>
            <w:r w:rsidRPr="00496CEE">
              <w:rPr>
                <w:rFonts w:eastAsia="Times New Roman" w:cs="Times New Roman"/>
                <w:sz w:val="20"/>
                <w:szCs w:val="20"/>
                <w:lang w:eastAsia="ru-RU"/>
              </w:rPr>
              <w:t xml:space="preserve"> отдела социальной политики администрации городского округа Верхняя Пышма</w:t>
            </w:r>
          </w:p>
        </w:tc>
      </w:tr>
      <w:tr w:rsidR="004D3023" w:rsidRPr="00496CEE" w:rsidTr="00DB7B4B">
        <w:trPr>
          <w:trHeight w:val="2548"/>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1.1.2.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proofErr w:type="gramStart"/>
            <w:r w:rsidRPr="00496CEE">
              <w:rPr>
                <w:rFonts w:eastAsia="Times New Roman" w:cs="Times New Roman"/>
                <w:sz w:val="20"/>
                <w:szCs w:val="20"/>
                <w:lang w:eastAsia="ru-RU"/>
              </w:rPr>
              <w:t>Количество  участников</w:t>
            </w:r>
            <w:proofErr w:type="gramEnd"/>
            <w:r w:rsidRPr="00496CEE">
              <w:rPr>
                <w:rFonts w:eastAsia="Times New Roman" w:cs="Times New Roman"/>
                <w:sz w:val="20"/>
                <w:szCs w:val="20"/>
                <w:lang w:eastAsia="ru-RU"/>
              </w:rPr>
              <w:t xml:space="preserve"> ВОВ, тружеников тыла, получивших ко дню Победы, ко дню Пожилого человека материальную помощь</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132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132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132</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4D3023" w:rsidRPr="00496CEE" w:rsidTr="00DB7B4B">
        <w:trPr>
          <w:trHeight w:val="2123"/>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1.1.3.</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граждан, получивших компенсации расходов на оплату жилого помещения и коммунальных услуг</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7570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7400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7765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7600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7600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7600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7600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7600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7600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Российской Федерации", отчет о </w:t>
            </w:r>
            <w:proofErr w:type="spellStart"/>
            <w:r w:rsidRPr="00496CEE">
              <w:rPr>
                <w:rFonts w:eastAsia="Times New Roman" w:cs="Times New Roman"/>
                <w:sz w:val="20"/>
                <w:szCs w:val="20"/>
                <w:lang w:eastAsia="ru-RU"/>
              </w:rPr>
              <w:t>раходовании</w:t>
            </w:r>
            <w:proofErr w:type="spellEnd"/>
            <w:r w:rsidRPr="00496CEE">
              <w:rPr>
                <w:rFonts w:eastAsia="Times New Roman" w:cs="Times New Roman"/>
                <w:sz w:val="20"/>
                <w:szCs w:val="20"/>
                <w:lang w:eastAsia="ru-RU"/>
              </w:rPr>
              <w:t xml:space="preserve"> субвенций отдела субсидий и компенсаций МКУ "Комитет ЖКХ"</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1.1.4.</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граждан, получивших оплату жилого помещения и коммунальных услуг, за счет субвенции из федерального бюджета</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3140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3212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3646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3212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3212</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3200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3200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3200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3200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отдела субсидий и компенсаций муниципального казенного учреждения "Комитет ЖКХ" городского округа Верхняя Пышма</w:t>
            </w:r>
          </w:p>
        </w:tc>
      </w:tr>
      <w:tr w:rsidR="004D3023" w:rsidRPr="00496CEE" w:rsidTr="00DB7B4B">
        <w:trPr>
          <w:trHeight w:val="1607"/>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1.1.5.</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граждан, получивших субсидии на оплату жилого помещения и коммунальных услуг</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660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858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660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660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600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Постановление Правительства Свердловской области от 14.12.2005 № 761 "О предоставлении </w:t>
            </w:r>
            <w:proofErr w:type="gramStart"/>
            <w:r w:rsidRPr="00496CEE">
              <w:rPr>
                <w:rFonts w:eastAsia="Times New Roman" w:cs="Times New Roman"/>
                <w:sz w:val="20"/>
                <w:szCs w:val="20"/>
                <w:lang w:eastAsia="ru-RU"/>
              </w:rPr>
              <w:t>субсидии  на</w:t>
            </w:r>
            <w:proofErr w:type="gramEnd"/>
            <w:r w:rsidRPr="00496CEE">
              <w:rPr>
                <w:rFonts w:eastAsia="Times New Roman" w:cs="Times New Roman"/>
                <w:sz w:val="20"/>
                <w:szCs w:val="20"/>
                <w:lang w:eastAsia="ru-RU"/>
              </w:rPr>
              <w:t xml:space="preserve"> оплату жилого помещения и коммунальных услуг ", отчет о расходовании субвенций отдела субсидий и компенсаций МКУ "Комитет ЖКХ"</w:t>
            </w:r>
          </w:p>
        </w:tc>
      </w:tr>
      <w:tr w:rsidR="004D3023" w:rsidRPr="00496CEE" w:rsidTr="00DB7B4B">
        <w:trPr>
          <w:trHeight w:val="422"/>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1.1.6.</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w:t>
            </w:r>
            <w:r w:rsidRPr="00496CEE">
              <w:rPr>
                <w:rFonts w:eastAsia="Times New Roman" w:cs="Times New Roman"/>
                <w:sz w:val="20"/>
                <w:szCs w:val="20"/>
                <w:lang w:eastAsia="ru-RU"/>
              </w:rPr>
              <w:lastRenderedPageBreak/>
              <w:t>данное право и обратившихся за получением</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lastRenderedPageBreak/>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2050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2050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2050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2050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2050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2050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о фактических объемах, реализованных льготных проездных билетов транспортной организацией</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lastRenderedPageBreak/>
              <w:t>1.2.</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1.2. Обеспечение выплат ежемесячного денежного вознаграждения Почетным гражданам городского округа Верхняя Пышма</w:t>
            </w:r>
          </w:p>
        </w:tc>
      </w:tr>
      <w:tr w:rsidR="004D3023" w:rsidRPr="00496CEE" w:rsidTr="00DB7B4B">
        <w:trPr>
          <w:trHeight w:val="255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1.2.1.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Почетных граждан городского округа Верхняя Пышма, которым выплачивается ежемесячное денежное </w:t>
            </w:r>
            <w:proofErr w:type="gramStart"/>
            <w:r w:rsidRPr="00496CEE">
              <w:rPr>
                <w:rFonts w:eastAsia="Times New Roman" w:cs="Times New Roman"/>
                <w:sz w:val="20"/>
                <w:szCs w:val="20"/>
                <w:lang w:eastAsia="ru-RU"/>
              </w:rPr>
              <w:t>вознаграждение  особые</w:t>
            </w:r>
            <w:proofErr w:type="gramEnd"/>
            <w:r w:rsidRPr="00496CEE">
              <w:rPr>
                <w:rFonts w:eastAsia="Times New Roman" w:cs="Times New Roman"/>
                <w:sz w:val="20"/>
                <w:szCs w:val="20"/>
                <w:lang w:eastAsia="ru-RU"/>
              </w:rPr>
              <w:t xml:space="preserve"> заслуги перед городским округом </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31</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1.3.</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4D3023" w:rsidRPr="00496CEE" w:rsidTr="00DB7B4B">
        <w:trPr>
          <w:trHeight w:val="127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1.3.1.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социально – значимых мероприятий для граждан, нуждающихся в дополнительных мерах социальной поддержки  </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Акт выполненных работ/оказанных услуг</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1.4.</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1.4. Повышение социальной и общественной активности граждан старшего поколения городского округа Верхняя Пышма</w:t>
            </w:r>
          </w:p>
        </w:tc>
      </w:tr>
      <w:tr w:rsidR="004D3023" w:rsidRPr="00496CEE" w:rsidTr="00DB7B4B">
        <w:trPr>
          <w:trHeight w:val="153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1.4.1.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65</w:t>
            </w:r>
          </w:p>
        </w:tc>
        <w:tc>
          <w:tcPr>
            <w:tcW w:w="3828" w:type="dxa"/>
            <w:shd w:val="clear" w:color="auto" w:fill="auto"/>
            <w:hideMark/>
          </w:tcPr>
          <w:p w:rsidR="004D3023" w:rsidRPr="00496CEE" w:rsidRDefault="004D3023" w:rsidP="004D3023">
            <w:pPr>
              <w:spacing w:after="240" w:line="240" w:lineRule="auto"/>
              <w:rPr>
                <w:rFonts w:eastAsia="Times New Roman" w:cs="Times New Roman"/>
                <w:sz w:val="20"/>
                <w:szCs w:val="20"/>
                <w:lang w:eastAsia="ru-RU"/>
              </w:rPr>
            </w:pPr>
            <w:r w:rsidRPr="00496CEE">
              <w:rPr>
                <w:rFonts w:eastAsia="Times New Roman" w:cs="Times New Roman"/>
                <w:sz w:val="20"/>
                <w:szCs w:val="20"/>
                <w:lang w:eastAsia="ru-RU"/>
              </w:rPr>
              <w:t>Отчет о работе по оказанию услуг, акт приема-сдачи</w:t>
            </w:r>
            <w:r w:rsidRPr="00496CEE">
              <w:rPr>
                <w:rFonts w:eastAsia="Times New Roman" w:cs="Times New Roman"/>
                <w:sz w:val="20"/>
                <w:szCs w:val="20"/>
                <w:lang w:eastAsia="ru-RU"/>
              </w:rPr>
              <w:br/>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1.5.</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1.5. Оказание дополнительных мер социальной поддержки отдельным категориям граждан</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инвалидов I и II групп инвалидности,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74</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1.5.3.</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инвалидов с детства, детей-инвалидов,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1.5.4.</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ветеранов и инвалидов Великой Отечественной войны, а также ветеранов и инвалидов боевых </w:t>
            </w:r>
            <w:proofErr w:type="gramStart"/>
            <w:r w:rsidRPr="00496CEE">
              <w:rPr>
                <w:rFonts w:eastAsia="Times New Roman" w:cs="Times New Roman"/>
                <w:sz w:val="20"/>
                <w:szCs w:val="20"/>
                <w:lang w:eastAsia="ru-RU"/>
              </w:rPr>
              <w:t>действий,  которым</w:t>
            </w:r>
            <w:proofErr w:type="gramEnd"/>
            <w:r w:rsidRPr="00496CEE">
              <w:rPr>
                <w:rFonts w:eastAsia="Times New Roman" w:cs="Times New Roman"/>
                <w:sz w:val="20"/>
                <w:szCs w:val="20"/>
                <w:lang w:eastAsia="ru-RU"/>
              </w:rPr>
              <w:t xml:space="preserve">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39</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39</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4532"/>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1.5.5.</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w:t>
            </w:r>
            <w:r w:rsidRPr="00496CEE">
              <w:rPr>
                <w:rFonts w:eastAsia="Times New Roman" w:cs="Times New Roman"/>
                <w:sz w:val="20"/>
                <w:szCs w:val="20"/>
                <w:lang w:eastAsia="ru-RU"/>
              </w:rPr>
              <w:lastRenderedPageBreak/>
              <w:t xml:space="preserve">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496CEE">
              <w:rPr>
                <w:rFonts w:eastAsia="Times New Roman" w:cs="Times New Roman"/>
                <w:sz w:val="20"/>
                <w:szCs w:val="20"/>
                <w:lang w:eastAsia="ru-RU"/>
              </w:rPr>
              <w:t>Теча</w:t>
            </w:r>
            <w:proofErr w:type="spellEnd"/>
            <w:r w:rsidRPr="00496CEE">
              <w:rPr>
                <w:rFonts w:eastAsia="Times New Roman" w:cs="Times New Roman"/>
                <w:sz w:val="20"/>
                <w:szCs w:val="20"/>
                <w:lang w:eastAsia="ru-RU"/>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lastRenderedPageBreak/>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280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1.5.6.</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255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1.5.7.</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w:t>
            </w:r>
            <w:r w:rsidRPr="00496CEE">
              <w:rPr>
                <w:rFonts w:eastAsia="Times New Roman" w:cs="Times New Roman"/>
                <w:sz w:val="20"/>
                <w:szCs w:val="20"/>
                <w:lang w:eastAsia="ru-RU"/>
              </w:rPr>
              <w:lastRenderedPageBreak/>
              <w:t>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lastRenderedPageBreak/>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1.5.8.</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пенсионеров, имеющих звание ветерана в соответствии с Федеральным законом от 12 января 1995 года № 5-ФЗ «О ветеранах</w:t>
            </w:r>
            <w:proofErr w:type="gramStart"/>
            <w:r w:rsidRPr="00496CEE">
              <w:rPr>
                <w:rFonts w:eastAsia="Times New Roman" w:cs="Times New Roman"/>
                <w:sz w:val="20"/>
                <w:szCs w:val="20"/>
                <w:lang w:eastAsia="ru-RU"/>
              </w:rPr>
              <w:t>»,  которым</w:t>
            </w:r>
            <w:proofErr w:type="gramEnd"/>
            <w:r w:rsidRPr="00496CEE">
              <w:rPr>
                <w:rFonts w:eastAsia="Times New Roman" w:cs="Times New Roman"/>
                <w:sz w:val="20"/>
                <w:szCs w:val="20"/>
                <w:lang w:eastAsia="ru-RU"/>
              </w:rPr>
              <w:t xml:space="preserve">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407</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407</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407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407</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407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407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407</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1.5.9.</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детей-сирот и детей, оставшихся без попечения </w:t>
            </w:r>
            <w:proofErr w:type="gramStart"/>
            <w:r w:rsidRPr="00496CEE">
              <w:rPr>
                <w:rFonts w:eastAsia="Times New Roman" w:cs="Times New Roman"/>
                <w:sz w:val="20"/>
                <w:szCs w:val="20"/>
                <w:lang w:eastAsia="ru-RU"/>
              </w:rPr>
              <w:t>родителей,  которым</w:t>
            </w:r>
            <w:proofErr w:type="gramEnd"/>
            <w:r w:rsidRPr="00496CEE">
              <w:rPr>
                <w:rFonts w:eastAsia="Times New Roman" w:cs="Times New Roman"/>
                <w:sz w:val="20"/>
                <w:szCs w:val="20"/>
                <w:lang w:eastAsia="ru-RU"/>
              </w:rPr>
              <w:t xml:space="preserve">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1.5.10.</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лиц, имеющих трех и более несовершеннолетних </w:t>
            </w:r>
            <w:proofErr w:type="gramStart"/>
            <w:r w:rsidRPr="00496CEE">
              <w:rPr>
                <w:rFonts w:eastAsia="Times New Roman" w:cs="Times New Roman"/>
                <w:sz w:val="20"/>
                <w:szCs w:val="20"/>
                <w:lang w:eastAsia="ru-RU"/>
              </w:rPr>
              <w:t>детей,  которым</w:t>
            </w:r>
            <w:proofErr w:type="gramEnd"/>
            <w:r w:rsidRPr="00496CEE">
              <w:rPr>
                <w:rFonts w:eastAsia="Times New Roman" w:cs="Times New Roman"/>
                <w:sz w:val="20"/>
                <w:szCs w:val="20"/>
                <w:lang w:eastAsia="ru-RU"/>
              </w:rPr>
              <w:t xml:space="preserve">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41</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41</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331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229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1.5.12.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459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1.5.13.</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w:t>
            </w:r>
            <w:r w:rsidRPr="00496CEE">
              <w:rPr>
                <w:rFonts w:eastAsia="Times New Roman" w:cs="Times New Roman"/>
                <w:sz w:val="20"/>
                <w:szCs w:val="20"/>
                <w:lang w:eastAsia="ru-RU"/>
              </w:rPr>
              <w:lastRenderedPageBreak/>
              <w:t>возраст для назначения которой не наступили, имеющие звание ветерана в соответствии с Федеральным законом от 12 января 1995 года № 5-ФЗ «О ветеранах</w:t>
            </w:r>
            <w:proofErr w:type="gramStart"/>
            <w:r w:rsidRPr="00496CEE">
              <w:rPr>
                <w:rFonts w:eastAsia="Times New Roman" w:cs="Times New Roman"/>
                <w:sz w:val="20"/>
                <w:szCs w:val="20"/>
                <w:lang w:eastAsia="ru-RU"/>
              </w:rPr>
              <w:t>»,  которым</w:t>
            </w:r>
            <w:proofErr w:type="gramEnd"/>
            <w:r w:rsidRPr="00496CEE">
              <w:rPr>
                <w:rFonts w:eastAsia="Times New Roman" w:cs="Times New Roman"/>
                <w:sz w:val="20"/>
                <w:szCs w:val="20"/>
                <w:lang w:eastAsia="ru-RU"/>
              </w:rPr>
              <w:t xml:space="preserve">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lastRenderedPageBreak/>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561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1.5.14.</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w:t>
            </w:r>
            <w:r w:rsidRPr="00496CEE">
              <w:rPr>
                <w:rFonts w:eastAsia="Times New Roman" w:cs="Times New Roman"/>
                <w:sz w:val="20"/>
                <w:szCs w:val="20"/>
                <w:lang w:eastAsia="ru-RU"/>
              </w:rPr>
              <w:lastRenderedPageBreak/>
              <w:t>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lastRenderedPageBreak/>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819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1.5.15.</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w:t>
            </w:r>
            <w:r w:rsidRPr="00496CEE">
              <w:rPr>
                <w:rFonts w:eastAsia="Times New Roman" w:cs="Times New Roman"/>
                <w:sz w:val="20"/>
                <w:szCs w:val="20"/>
                <w:lang w:eastAsia="ru-RU"/>
              </w:rPr>
              <w:lastRenderedPageBreak/>
              <w:t xml:space="preserve">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lastRenderedPageBreak/>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255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1.5.16.</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налогу на имущество физических лиц</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1.5.17.</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детей-сирот и детей, оставшихся без попечения родителей, которым предоставлены меры поддержки в виде налоговых льгот по налогу на имущество физических лиц</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Информация Межрайонной инспекции Федеральной налоговой службы России № 32 по Свердловской области</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2.</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Подпрограмма 2. «Профилактика инфекционных заболеваний в городском округе Верхняя Пышма до 2027 года»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2.</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2.1.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2.1. Реализация мероприятий, направленных на снижение заболеваемости, связанных со средствами специфической профилактики</w:t>
            </w:r>
          </w:p>
        </w:tc>
      </w:tr>
      <w:tr w:rsidR="004D3023" w:rsidRPr="00496CEE" w:rsidTr="00DB7B4B">
        <w:trPr>
          <w:trHeight w:val="280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2.1.1.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детей, охваченных </w:t>
            </w:r>
            <w:proofErr w:type="spellStart"/>
            <w:r w:rsidRPr="00496CEE">
              <w:rPr>
                <w:rFonts w:eastAsia="Times New Roman" w:cs="Times New Roman"/>
                <w:sz w:val="20"/>
                <w:szCs w:val="20"/>
                <w:lang w:eastAsia="ru-RU"/>
              </w:rPr>
              <w:t>паразитологическим</w:t>
            </w:r>
            <w:proofErr w:type="spellEnd"/>
            <w:r w:rsidRPr="00496CEE">
              <w:rPr>
                <w:rFonts w:eastAsia="Times New Roman" w:cs="Times New Roman"/>
                <w:sz w:val="20"/>
                <w:szCs w:val="20"/>
                <w:lang w:eastAsia="ru-RU"/>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детей</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1033</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500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МКУ "Управление образования городского округа Верхняя Пышма"</w:t>
            </w:r>
          </w:p>
        </w:tc>
      </w:tr>
      <w:tr w:rsidR="004D3023" w:rsidRPr="00496CEE" w:rsidTr="00DB7B4B">
        <w:trPr>
          <w:trHeight w:val="3346"/>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2.1.2.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детей городского округа Верхняя Пышма в возрасте от 1,5 до 17 лет охваченных профилактическими прививками (ревакцинации) </w:t>
            </w:r>
            <w:proofErr w:type="gramStart"/>
            <w:r w:rsidRPr="00496CEE">
              <w:rPr>
                <w:rFonts w:eastAsia="Times New Roman" w:cs="Times New Roman"/>
                <w:sz w:val="20"/>
                <w:szCs w:val="20"/>
                <w:lang w:eastAsia="ru-RU"/>
              </w:rPr>
              <w:t>против  клещевого</w:t>
            </w:r>
            <w:proofErr w:type="gramEnd"/>
            <w:r w:rsidRPr="00496CEE">
              <w:rPr>
                <w:rFonts w:eastAsia="Times New Roman" w:cs="Times New Roman"/>
                <w:sz w:val="20"/>
                <w:szCs w:val="20"/>
                <w:lang w:eastAsia="ru-RU"/>
              </w:rPr>
              <w:t xml:space="preserve"> энцефалита</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детей</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2060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1670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4D3023" w:rsidRPr="00496CEE" w:rsidTr="00DB7B4B">
        <w:trPr>
          <w:trHeight w:val="269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2.1.3.</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детей городского округа Верхняя Пышма в возрасте от 6 </w:t>
            </w:r>
            <w:proofErr w:type="gramStart"/>
            <w:r w:rsidRPr="00496CEE">
              <w:rPr>
                <w:rFonts w:eastAsia="Times New Roman" w:cs="Times New Roman"/>
                <w:sz w:val="20"/>
                <w:szCs w:val="20"/>
                <w:lang w:eastAsia="ru-RU"/>
              </w:rPr>
              <w:t>до 12 лет</w:t>
            </w:r>
            <w:proofErr w:type="gramEnd"/>
            <w:r w:rsidRPr="00496CEE">
              <w:rPr>
                <w:rFonts w:eastAsia="Times New Roman" w:cs="Times New Roman"/>
                <w:sz w:val="20"/>
                <w:szCs w:val="20"/>
                <w:lang w:eastAsia="ru-RU"/>
              </w:rPr>
              <w:t xml:space="preserve"> охваченных профилактическими прививками   против гепатита А</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детей</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420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870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2.2.</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2.2. Организация неспецифической профилактики для предотвращения присасывания клещей - переносчиков к людям</w:t>
            </w:r>
          </w:p>
        </w:tc>
      </w:tr>
      <w:tr w:rsidR="004D3023" w:rsidRPr="00496CEE" w:rsidTr="00DB7B4B">
        <w:trPr>
          <w:trHeight w:val="153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Площадь территории </w:t>
            </w:r>
            <w:proofErr w:type="gramStart"/>
            <w:r w:rsidRPr="00496CEE">
              <w:rPr>
                <w:rFonts w:eastAsia="Times New Roman" w:cs="Times New Roman"/>
                <w:sz w:val="20"/>
                <w:szCs w:val="20"/>
                <w:lang w:eastAsia="ru-RU"/>
              </w:rPr>
              <w:t>муниципальных учреждений</w:t>
            </w:r>
            <w:proofErr w:type="gramEnd"/>
            <w:r w:rsidRPr="00496CEE">
              <w:rPr>
                <w:rFonts w:eastAsia="Times New Roman" w:cs="Times New Roman"/>
                <w:sz w:val="20"/>
                <w:szCs w:val="20"/>
                <w:lang w:eastAsia="ru-RU"/>
              </w:rPr>
              <w:t xml:space="preserve"> обработанных </w:t>
            </w:r>
            <w:proofErr w:type="spellStart"/>
            <w:r w:rsidRPr="00496CEE">
              <w:rPr>
                <w:rFonts w:eastAsia="Times New Roman" w:cs="Times New Roman"/>
                <w:sz w:val="20"/>
                <w:szCs w:val="20"/>
                <w:lang w:eastAsia="ru-RU"/>
              </w:rPr>
              <w:t>аккарицидными</w:t>
            </w:r>
            <w:proofErr w:type="spellEnd"/>
            <w:r w:rsidRPr="00496CEE">
              <w:rPr>
                <w:rFonts w:eastAsia="Times New Roman" w:cs="Times New Roman"/>
                <w:sz w:val="20"/>
                <w:szCs w:val="20"/>
                <w:lang w:eastAsia="ru-RU"/>
              </w:rPr>
              <w:t xml:space="preserve"> средствами в сфере образования</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гектар</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93,7</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93,7</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46,5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46,5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46,5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93,7</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93,7</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образования городского округа Верхняя Пышма"</w:t>
            </w:r>
          </w:p>
        </w:tc>
      </w:tr>
      <w:tr w:rsidR="004D3023" w:rsidRPr="00496CEE" w:rsidTr="00DB7B4B">
        <w:trPr>
          <w:trHeight w:val="1544"/>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Площадь открытых территорий, на которых проведены </w:t>
            </w:r>
            <w:proofErr w:type="spellStart"/>
            <w:r w:rsidRPr="00496CEE">
              <w:rPr>
                <w:rFonts w:eastAsia="Times New Roman" w:cs="Times New Roman"/>
                <w:sz w:val="20"/>
                <w:szCs w:val="20"/>
                <w:lang w:eastAsia="ru-RU"/>
              </w:rPr>
              <w:t>дератизационные</w:t>
            </w:r>
            <w:proofErr w:type="spellEnd"/>
            <w:r w:rsidRPr="00496CEE">
              <w:rPr>
                <w:rFonts w:eastAsia="Times New Roman" w:cs="Times New Roman"/>
                <w:sz w:val="20"/>
                <w:szCs w:val="20"/>
                <w:lang w:eastAsia="ru-RU"/>
              </w:rPr>
              <w:t xml:space="preserve"> работы</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гектар</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17,5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17,5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17,5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17,5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17,5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17,5</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4D3023" w:rsidRPr="00496CEE" w:rsidTr="00DB7B4B">
        <w:trPr>
          <w:trHeight w:val="153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2.2.3.</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Площадь помещений муниципальных учреждений, охваченных дератизацией и дезинсекцией в сфере образования</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тыс. м2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1033,9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1033,9</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930,03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930,03</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930,03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1033,9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1033,9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1033,9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1033,9</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образования городского округа Верхняя Пышма"</w:t>
            </w:r>
          </w:p>
        </w:tc>
      </w:tr>
      <w:tr w:rsidR="004D3023" w:rsidRPr="00496CEE" w:rsidTr="00DB7B4B">
        <w:trPr>
          <w:trHeight w:val="102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2.2.4.</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проведенных санитарно-эпидемиологических экспертиз в сфере образования</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штук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муниципальных учреждений об использовании субсидий на иные цели</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2.2.5.</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Площадь территории </w:t>
            </w:r>
            <w:proofErr w:type="gramStart"/>
            <w:r w:rsidRPr="00496CEE">
              <w:rPr>
                <w:rFonts w:eastAsia="Times New Roman" w:cs="Times New Roman"/>
                <w:sz w:val="20"/>
                <w:szCs w:val="20"/>
                <w:lang w:eastAsia="ru-RU"/>
              </w:rPr>
              <w:t>муниципальных учреждений</w:t>
            </w:r>
            <w:proofErr w:type="gramEnd"/>
            <w:r w:rsidRPr="00496CEE">
              <w:rPr>
                <w:rFonts w:eastAsia="Times New Roman" w:cs="Times New Roman"/>
                <w:sz w:val="20"/>
                <w:szCs w:val="20"/>
                <w:lang w:eastAsia="ru-RU"/>
              </w:rPr>
              <w:t xml:space="preserve"> обработанных </w:t>
            </w:r>
            <w:proofErr w:type="spellStart"/>
            <w:r w:rsidRPr="00496CEE">
              <w:rPr>
                <w:rFonts w:eastAsia="Times New Roman" w:cs="Times New Roman"/>
                <w:sz w:val="20"/>
                <w:szCs w:val="20"/>
                <w:lang w:eastAsia="ru-RU"/>
              </w:rPr>
              <w:t>аккарицидными</w:t>
            </w:r>
            <w:proofErr w:type="spellEnd"/>
            <w:r w:rsidRPr="00496CEE">
              <w:rPr>
                <w:rFonts w:eastAsia="Times New Roman" w:cs="Times New Roman"/>
                <w:sz w:val="20"/>
                <w:szCs w:val="20"/>
                <w:lang w:eastAsia="ru-RU"/>
              </w:rPr>
              <w:t xml:space="preserve"> средствами в сфере физической культуры, спорта и молодежной политики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гектар</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2.2.6.</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Площадь помещений муниципальных учреждений, охваченных дератизацией и </w:t>
            </w:r>
            <w:proofErr w:type="gramStart"/>
            <w:r w:rsidRPr="00496CEE">
              <w:rPr>
                <w:rFonts w:eastAsia="Times New Roman" w:cs="Times New Roman"/>
                <w:sz w:val="20"/>
                <w:szCs w:val="20"/>
                <w:lang w:eastAsia="ru-RU"/>
              </w:rPr>
              <w:t>дезинсекцией  в</w:t>
            </w:r>
            <w:proofErr w:type="gramEnd"/>
            <w:r w:rsidRPr="00496CEE">
              <w:rPr>
                <w:rFonts w:eastAsia="Times New Roman" w:cs="Times New Roman"/>
                <w:sz w:val="20"/>
                <w:szCs w:val="20"/>
                <w:lang w:eastAsia="ru-RU"/>
              </w:rPr>
              <w:t xml:space="preserve"> сфере физической культуры, спорта и молодежной политики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тыс. м2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187,3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187,3</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187,3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187,3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187,3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187,3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187,3</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2.2.7.</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Площадь территорий, обследованных на </w:t>
            </w:r>
            <w:proofErr w:type="spellStart"/>
            <w:r w:rsidRPr="00496CEE">
              <w:rPr>
                <w:rFonts w:eastAsia="Times New Roman" w:cs="Times New Roman"/>
                <w:sz w:val="20"/>
                <w:szCs w:val="20"/>
                <w:lang w:eastAsia="ru-RU"/>
              </w:rPr>
              <w:t>заклещеванность</w:t>
            </w:r>
            <w:proofErr w:type="spellEnd"/>
            <w:r w:rsidRPr="00496CEE">
              <w:rPr>
                <w:rFonts w:eastAsia="Times New Roman" w:cs="Times New Roman"/>
                <w:sz w:val="20"/>
                <w:szCs w:val="20"/>
                <w:lang w:eastAsia="ru-RU"/>
              </w:rPr>
              <w:t xml:space="preserve"> в сфере физической культуры, спорта и молодежной политики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гектар</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2.2.8.</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проведенных санитарно-эпидемиологических экспертиз в сфере физической культуры, спорта и молодежной политики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штук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2.2.9.</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Площадь помещений муниципальных учреждений, охваченных дезинфекцией в сфере физической культуры, спорта и молодежной политики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тыс. м2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8,6</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4D3023" w:rsidRPr="00496CEE" w:rsidTr="00DB7B4B">
        <w:trPr>
          <w:trHeight w:val="127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2.2.10.</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Площадь территории </w:t>
            </w:r>
            <w:proofErr w:type="gramStart"/>
            <w:r w:rsidRPr="00496CEE">
              <w:rPr>
                <w:rFonts w:eastAsia="Times New Roman" w:cs="Times New Roman"/>
                <w:sz w:val="20"/>
                <w:szCs w:val="20"/>
                <w:lang w:eastAsia="ru-RU"/>
              </w:rPr>
              <w:t>муниципальных учреждений</w:t>
            </w:r>
            <w:proofErr w:type="gramEnd"/>
            <w:r w:rsidRPr="00496CEE">
              <w:rPr>
                <w:rFonts w:eastAsia="Times New Roman" w:cs="Times New Roman"/>
                <w:sz w:val="20"/>
                <w:szCs w:val="20"/>
                <w:lang w:eastAsia="ru-RU"/>
              </w:rPr>
              <w:t xml:space="preserve"> обработанных </w:t>
            </w:r>
            <w:proofErr w:type="spellStart"/>
            <w:r w:rsidRPr="00496CEE">
              <w:rPr>
                <w:rFonts w:eastAsia="Times New Roman" w:cs="Times New Roman"/>
                <w:sz w:val="20"/>
                <w:szCs w:val="20"/>
                <w:lang w:eastAsia="ru-RU"/>
              </w:rPr>
              <w:t>аккарицидными</w:t>
            </w:r>
            <w:proofErr w:type="spellEnd"/>
            <w:r w:rsidRPr="00496CEE">
              <w:rPr>
                <w:rFonts w:eastAsia="Times New Roman" w:cs="Times New Roman"/>
                <w:sz w:val="20"/>
                <w:szCs w:val="20"/>
                <w:lang w:eastAsia="ru-RU"/>
              </w:rPr>
              <w:t xml:space="preserve"> средствами в сфере культуры</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гектар</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культуры городского округа Верхняя Пышма"</w:t>
            </w:r>
          </w:p>
        </w:tc>
      </w:tr>
      <w:tr w:rsidR="004D3023" w:rsidRPr="00496CEE" w:rsidTr="00DB7B4B">
        <w:trPr>
          <w:trHeight w:val="153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тыс. м2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11,46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11,46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11,46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11,46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11,46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11,46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11,46</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муниципальных учреждений об использовании целевых субсидий</w:t>
            </w:r>
          </w:p>
        </w:tc>
      </w:tr>
      <w:tr w:rsidR="004D3023" w:rsidRPr="00496CEE" w:rsidTr="00DB7B4B">
        <w:trPr>
          <w:trHeight w:val="178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2.2.12.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тыс. кв2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0,43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0,43</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0,43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0,43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0,43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0,43</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0,43</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муниципальных учреждений об использовании целевых субсидий</w:t>
            </w:r>
          </w:p>
        </w:tc>
      </w:tr>
      <w:tr w:rsidR="004D3023" w:rsidRPr="00496CEE" w:rsidTr="00DB7B4B">
        <w:trPr>
          <w:trHeight w:val="102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2.2.13.</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Площадь территорий муниципальных учреждений, обработанных </w:t>
            </w:r>
            <w:proofErr w:type="spellStart"/>
            <w:r w:rsidRPr="00496CEE">
              <w:rPr>
                <w:rFonts w:eastAsia="Times New Roman" w:cs="Times New Roman"/>
                <w:sz w:val="20"/>
                <w:szCs w:val="20"/>
                <w:lang w:eastAsia="ru-RU"/>
              </w:rPr>
              <w:t>аккарицидными</w:t>
            </w:r>
            <w:proofErr w:type="spellEnd"/>
            <w:r w:rsidRPr="00496CEE">
              <w:rPr>
                <w:rFonts w:eastAsia="Times New Roman" w:cs="Times New Roman"/>
                <w:sz w:val="20"/>
                <w:szCs w:val="20"/>
                <w:lang w:eastAsia="ru-RU"/>
              </w:rPr>
              <w:t xml:space="preserve"> средствами в сфере культуры</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гектар</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51</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муниципальных учреждений об использовании целевых субсидий</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3.</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3.</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3.1.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4D3023" w:rsidRPr="00496CEE" w:rsidTr="00DB7B4B">
        <w:trPr>
          <w:trHeight w:val="181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3.1.1.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Уровень охвата населения в возрасте 15-49 лет профилактическими программами по ВИЧ-инфекции</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процентов</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96,6</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97</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97</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4D3023" w:rsidRPr="00496CEE" w:rsidTr="00DB7B4B">
        <w:trPr>
          <w:trHeight w:val="102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3.1.2.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распространенных информационных материалов по профилактике ВИЧ-инфекции, туберкулеза </w:t>
            </w:r>
            <w:proofErr w:type="gramStart"/>
            <w:r w:rsidRPr="00496CEE">
              <w:rPr>
                <w:rFonts w:eastAsia="Times New Roman" w:cs="Times New Roman"/>
                <w:sz w:val="20"/>
                <w:szCs w:val="20"/>
                <w:lang w:eastAsia="ru-RU"/>
              </w:rPr>
              <w:t>и  наркомании</w:t>
            </w:r>
            <w:proofErr w:type="gramEnd"/>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24566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20841</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Акт выполненных работ/оказанных услуг</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4.</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Подпрограмма 4. «Доступная среда на территории городского округа Верхняя Пышма до 2027 года»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lastRenderedPageBreak/>
              <w:t>4.</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Цель 4. Повышение доступности объектов и услуг для инвалидов и маломобильных групп населения городского округа Верхняя Пышма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4.1.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4D3023" w:rsidRPr="00496CEE" w:rsidTr="00DB7B4B">
        <w:trPr>
          <w:trHeight w:val="2091"/>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4.1.1.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спортивно - массовых и культурно - досуговых мероприятий для инвалидов и маломобильных групп населения</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13</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14</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МКУ "Управление физической культуры, спорта и молодежной политики городского округа Верхняя Пышма", МКУ "Управление культуры городского округа Верхняя Пышма"</w:t>
            </w:r>
          </w:p>
        </w:tc>
      </w:tr>
      <w:tr w:rsidR="004D3023" w:rsidRPr="00496CEE" w:rsidTr="00DB7B4B">
        <w:trPr>
          <w:trHeight w:val="76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4.1.2.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инвалидов, систематически занимающихся физкультурой и спортом</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человек</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95</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Форма </w:t>
            </w:r>
            <w:proofErr w:type="gramStart"/>
            <w:r w:rsidRPr="00496CEE">
              <w:rPr>
                <w:rFonts w:eastAsia="Times New Roman" w:cs="Times New Roman"/>
                <w:sz w:val="20"/>
                <w:szCs w:val="20"/>
                <w:lang w:eastAsia="ru-RU"/>
              </w:rPr>
              <w:t>Федерального  статистического</w:t>
            </w:r>
            <w:proofErr w:type="gramEnd"/>
            <w:r w:rsidRPr="00496CEE">
              <w:rPr>
                <w:rFonts w:eastAsia="Times New Roman" w:cs="Times New Roman"/>
                <w:sz w:val="20"/>
                <w:szCs w:val="20"/>
                <w:lang w:eastAsia="ru-RU"/>
              </w:rPr>
              <w:t xml:space="preserve"> наблюдения № 3 - АФК</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4.2.</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4.2. Повышение доступности и качества услуг, содействие социальной интеграции инвалидов в общество</w:t>
            </w:r>
          </w:p>
        </w:tc>
      </w:tr>
      <w:tr w:rsidR="004D3023" w:rsidRPr="00496CEE" w:rsidTr="00DB7B4B">
        <w:trPr>
          <w:trHeight w:val="153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4.2.1.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культуры городского округа Верхняя Пышма»</w:t>
            </w:r>
          </w:p>
        </w:tc>
      </w:tr>
      <w:tr w:rsidR="004D3023" w:rsidRPr="00496CEE" w:rsidTr="00DB7B4B">
        <w:trPr>
          <w:trHeight w:val="153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4.2.2.</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форма Федеральной статистической отчетности № ОО-1</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4.2.3.</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4.3.</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4D3023" w:rsidRPr="00496CEE" w:rsidTr="00DB7B4B">
        <w:trPr>
          <w:trHeight w:val="127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4.3.1.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Доля инвалидов, положительно оценивающих отношение населения к проблемам инвалидов (от общей численности опрошенных инвалидов)</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процентов</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22</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24</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26</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28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30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Результаты социологического опроса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4.4.</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4.4. Развитие системы работы для детей с ограниченными возможностями здоровья в муниципальных образовательных организациях</w:t>
            </w:r>
          </w:p>
        </w:tc>
      </w:tr>
      <w:tr w:rsidR="004D3023" w:rsidRPr="00496CEE" w:rsidTr="00DB7B4B">
        <w:trPr>
          <w:trHeight w:val="1275"/>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4.4.1.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 xml:space="preserve">Количество учреждений общего образования, создавших условия для инклюзивного образования </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учреждений</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4</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5</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6</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7</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МКУ "Управление образования городского округа Верхняя Пышма"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4.5.</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4.5. Обеспечение приспособлений   жилых   помещений и общего   имущества в многоквартирных домах с учетом   потребностей   инвалидов</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lastRenderedPageBreak/>
              <w:t>4.5.1.</w:t>
            </w:r>
          </w:p>
        </w:tc>
        <w:tc>
          <w:tcPr>
            <w:tcW w:w="1652" w:type="dxa"/>
            <w:shd w:val="clear" w:color="auto" w:fill="auto"/>
            <w:hideMark/>
          </w:tcPr>
          <w:p w:rsidR="004D3023" w:rsidRPr="00496CEE" w:rsidRDefault="004D3023" w:rsidP="004D3023">
            <w:pPr>
              <w:spacing w:after="24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Единиц</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 </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8</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о выполнении работ МКУ "Комитет ЖКХ"</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5.</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Подпрограмма 5. «Обеспечение жильем молодых семей городского округа Верхняя Пышма до 2027 года»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5.</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5.1.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4D3023" w:rsidRPr="00496CEE" w:rsidTr="00DB7B4B">
        <w:trPr>
          <w:trHeight w:val="2040"/>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5.1.1.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молодых семей, нуждающихся в улучшении жилищных условий, которым предоставлены социальные выплаты</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количество семей</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18</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9</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МКУ "Управление физической культуры, спорта и молодежной политики администрации городского округа Верхняя Пышма"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6.</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6.</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b/>
                <w:bCs/>
                <w:color w:val="000000"/>
                <w:sz w:val="20"/>
                <w:szCs w:val="20"/>
                <w:lang w:eastAsia="ru-RU"/>
              </w:rPr>
            </w:pPr>
            <w:r w:rsidRPr="00496CEE">
              <w:rPr>
                <w:rFonts w:eastAsia="Times New Roman" w:cs="Times New Roman"/>
                <w:b/>
                <w:bCs/>
                <w:color w:val="000000"/>
                <w:sz w:val="20"/>
                <w:szCs w:val="20"/>
                <w:lang w:eastAsia="ru-RU"/>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4D3023" w:rsidRPr="00496CEE" w:rsidTr="00DB7B4B">
        <w:trPr>
          <w:trHeight w:val="255"/>
        </w:trPr>
        <w:tc>
          <w:tcPr>
            <w:tcW w:w="900" w:type="dxa"/>
            <w:shd w:val="clear" w:color="000000" w:fill="FFFFFF"/>
            <w:hideMark/>
          </w:tcPr>
          <w:p w:rsidR="004D3023" w:rsidRPr="00496CEE" w:rsidRDefault="004D3023" w:rsidP="004D3023">
            <w:pPr>
              <w:spacing w:after="0" w:line="240" w:lineRule="auto"/>
              <w:jc w:val="center"/>
              <w:rPr>
                <w:rFonts w:eastAsia="Times New Roman" w:cs="Times New Roman"/>
                <w:color w:val="000000"/>
                <w:sz w:val="20"/>
                <w:szCs w:val="20"/>
                <w:lang w:eastAsia="ru-RU"/>
              </w:rPr>
            </w:pPr>
            <w:r w:rsidRPr="00496CEE">
              <w:rPr>
                <w:rFonts w:eastAsia="Times New Roman" w:cs="Times New Roman"/>
                <w:color w:val="000000"/>
                <w:sz w:val="20"/>
                <w:szCs w:val="20"/>
                <w:lang w:eastAsia="ru-RU"/>
              </w:rPr>
              <w:t>6.1.</w:t>
            </w:r>
          </w:p>
        </w:tc>
        <w:tc>
          <w:tcPr>
            <w:tcW w:w="14835" w:type="dxa"/>
            <w:gridSpan w:val="12"/>
            <w:shd w:val="clear" w:color="000000" w:fill="FFFFFF"/>
            <w:vAlign w:val="center"/>
            <w:hideMark/>
          </w:tcPr>
          <w:p w:rsidR="004D3023" w:rsidRPr="00496CEE" w:rsidRDefault="004D3023" w:rsidP="004D3023">
            <w:pPr>
              <w:spacing w:after="0" w:line="240" w:lineRule="auto"/>
              <w:rPr>
                <w:rFonts w:eastAsia="Times New Roman" w:cs="Times New Roman"/>
                <w:color w:val="000000"/>
                <w:sz w:val="20"/>
                <w:szCs w:val="20"/>
                <w:lang w:eastAsia="ru-RU"/>
              </w:rPr>
            </w:pPr>
            <w:r w:rsidRPr="00496CEE">
              <w:rPr>
                <w:rFonts w:eastAsia="Times New Roman" w:cs="Times New Roman"/>
                <w:color w:val="000000"/>
                <w:sz w:val="20"/>
                <w:szCs w:val="20"/>
                <w:lang w:eastAsia="ru-RU"/>
              </w:rPr>
              <w:t>Задача 6.1. Повышение качества оказания муниципальных услуг (работ) в социальной сфере</w:t>
            </w:r>
          </w:p>
        </w:tc>
      </w:tr>
      <w:tr w:rsidR="004D3023" w:rsidRPr="00496CEE" w:rsidTr="00DB7B4B">
        <w:trPr>
          <w:trHeight w:val="2123"/>
        </w:trPr>
        <w:tc>
          <w:tcPr>
            <w:tcW w:w="900" w:type="dxa"/>
            <w:shd w:val="clear" w:color="auto" w:fill="auto"/>
            <w:hideMark/>
          </w:tcPr>
          <w:p w:rsidR="004D3023" w:rsidRPr="00496CEE" w:rsidRDefault="004D3023" w:rsidP="004D3023">
            <w:pPr>
              <w:spacing w:after="0" w:line="240" w:lineRule="auto"/>
              <w:jc w:val="center"/>
              <w:rPr>
                <w:rFonts w:eastAsia="Times New Roman" w:cs="Times New Roman"/>
                <w:sz w:val="20"/>
                <w:szCs w:val="20"/>
                <w:lang w:eastAsia="ru-RU"/>
              </w:rPr>
            </w:pPr>
            <w:r w:rsidRPr="00496CEE">
              <w:rPr>
                <w:rFonts w:eastAsia="Times New Roman" w:cs="Times New Roman"/>
                <w:sz w:val="20"/>
                <w:szCs w:val="20"/>
                <w:lang w:eastAsia="ru-RU"/>
              </w:rPr>
              <w:t>6.1.1.</w:t>
            </w:r>
          </w:p>
        </w:tc>
        <w:tc>
          <w:tcPr>
            <w:tcW w:w="1652"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Достижение целевых показателей муниципальной программы</w:t>
            </w:r>
          </w:p>
        </w:tc>
        <w:tc>
          <w:tcPr>
            <w:tcW w:w="1276"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процентов</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850"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851"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992" w:type="dxa"/>
            <w:shd w:val="clear" w:color="auto" w:fill="auto"/>
            <w:hideMark/>
          </w:tcPr>
          <w:p w:rsidR="004D3023" w:rsidRPr="00496CEE" w:rsidRDefault="004D3023" w:rsidP="004D3023">
            <w:pPr>
              <w:spacing w:after="0" w:line="240" w:lineRule="auto"/>
              <w:jc w:val="right"/>
              <w:rPr>
                <w:rFonts w:eastAsia="Times New Roman" w:cs="Times New Roman"/>
                <w:sz w:val="20"/>
                <w:szCs w:val="20"/>
                <w:lang w:eastAsia="ru-RU"/>
              </w:rPr>
            </w:pPr>
            <w:r w:rsidRPr="00496CEE">
              <w:rPr>
                <w:rFonts w:eastAsia="Times New Roman" w:cs="Times New Roman"/>
                <w:sz w:val="20"/>
                <w:szCs w:val="20"/>
                <w:lang w:eastAsia="ru-RU"/>
              </w:rPr>
              <w:t>100</w:t>
            </w:r>
          </w:p>
        </w:tc>
        <w:tc>
          <w:tcPr>
            <w:tcW w:w="3828" w:type="dxa"/>
            <w:shd w:val="clear" w:color="auto" w:fill="auto"/>
            <w:hideMark/>
          </w:tcPr>
          <w:p w:rsidR="004D3023" w:rsidRPr="00496CEE" w:rsidRDefault="004D3023" w:rsidP="004D3023">
            <w:pPr>
              <w:spacing w:after="0" w:line="240" w:lineRule="auto"/>
              <w:rPr>
                <w:rFonts w:eastAsia="Times New Roman" w:cs="Times New Roman"/>
                <w:sz w:val="20"/>
                <w:szCs w:val="20"/>
                <w:lang w:eastAsia="ru-RU"/>
              </w:rPr>
            </w:pPr>
            <w:r w:rsidRPr="00496CEE">
              <w:rPr>
                <w:rFonts w:eastAsia="Times New Roman" w:cs="Times New Roman"/>
                <w:sz w:val="20"/>
                <w:szCs w:val="20"/>
                <w:lang w:eastAsia="ru-RU"/>
              </w:rPr>
              <w:t>Отчет отдела социальной политики администрации городского округа Верхняя Пышма, отчет МКУ "Комитет ЖКХ" городского округа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E42064" w:rsidRPr="00496CEE" w:rsidRDefault="00E42064"/>
    <w:sectPr w:rsidR="00E42064" w:rsidRPr="00496CEE" w:rsidSect="004D3023">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B8"/>
    <w:rsid w:val="00496CEE"/>
    <w:rsid w:val="004D3023"/>
    <w:rsid w:val="00A163B8"/>
    <w:rsid w:val="00C407E5"/>
    <w:rsid w:val="00DB7B4B"/>
    <w:rsid w:val="00E4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78AC6-341F-49F4-9B00-EB3AB0AA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3023"/>
  </w:style>
  <w:style w:type="character" w:styleId="a3">
    <w:name w:val="Hyperlink"/>
    <w:basedOn w:val="a0"/>
    <w:uiPriority w:val="99"/>
    <w:semiHidden/>
    <w:unhideWhenUsed/>
    <w:rsid w:val="004D3023"/>
    <w:rPr>
      <w:color w:val="0000FF"/>
      <w:u w:val="single"/>
    </w:rPr>
  </w:style>
  <w:style w:type="character" w:styleId="a4">
    <w:name w:val="FollowedHyperlink"/>
    <w:basedOn w:val="a0"/>
    <w:uiPriority w:val="99"/>
    <w:semiHidden/>
    <w:unhideWhenUsed/>
    <w:rsid w:val="004D3023"/>
    <w:rPr>
      <w:color w:val="800080"/>
      <w:u w:val="single"/>
    </w:rPr>
  </w:style>
  <w:style w:type="paragraph" w:customStyle="1" w:styleId="xl65">
    <w:name w:val="xl65"/>
    <w:basedOn w:val="a"/>
    <w:rsid w:val="004D3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4D3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4D3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4D3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4D30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0">
    <w:name w:val="xl70"/>
    <w:basedOn w:val="a"/>
    <w:rsid w:val="004D3023"/>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71">
    <w:name w:val="xl71"/>
    <w:basedOn w:val="a"/>
    <w:rsid w:val="004D3023"/>
    <w:pPr>
      <w:spacing w:before="100" w:beforeAutospacing="1" w:after="100" w:afterAutospacing="1" w:line="240" w:lineRule="auto"/>
      <w:jc w:val="right"/>
      <w:textAlignment w:val="bottom"/>
    </w:pPr>
    <w:rPr>
      <w:rFonts w:ascii="Times New Roman" w:eastAsia="Times New Roman" w:hAnsi="Times New Roman" w:cs="Times New Roman"/>
      <w:lang w:eastAsia="ru-RU"/>
    </w:rPr>
  </w:style>
  <w:style w:type="paragraph" w:customStyle="1" w:styleId="xl72">
    <w:name w:val="xl72"/>
    <w:basedOn w:val="a"/>
    <w:rsid w:val="004D302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D302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4D302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
    <w:rsid w:val="004D302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4D302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7">
    <w:name w:val="xl77"/>
    <w:basedOn w:val="a"/>
    <w:rsid w:val="004D302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4D302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
    <w:rsid w:val="004D302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D302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
    <w:rsid w:val="004D3023"/>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4D3023"/>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4D3023"/>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4D3023"/>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85">
    <w:name w:val="xl85"/>
    <w:basedOn w:val="a"/>
    <w:rsid w:val="004D302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4D302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D302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8">
    <w:name w:val="xl88"/>
    <w:basedOn w:val="a"/>
    <w:rsid w:val="004D302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9">
    <w:name w:val="xl89"/>
    <w:basedOn w:val="a"/>
    <w:rsid w:val="004D302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0">
    <w:name w:val="xl90"/>
    <w:basedOn w:val="a"/>
    <w:rsid w:val="004D302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
    <w:rsid w:val="004D302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
    <w:rsid w:val="004D302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496C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96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79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Суманеева Татьяна Викторовна</dc:creator>
  <cp:keywords/>
  <dc:description/>
  <cp:lastModifiedBy>Садыкова Дарья Юрьевна</cp:lastModifiedBy>
  <cp:revision>6</cp:revision>
  <cp:lastPrinted>2023-02-27T07:07:00Z</cp:lastPrinted>
  <dcterms:created xsi:type="dcterms:W3CDTF">2023-02-08T07:20:00Z</dcterms:created>
  <dcterms:modified xsi:type="dcterms:W3CDTF">2023-02-27T12:53:00Z</dcterms:modified>
</cp:coreProperties>
</file>