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A24DF" w:rsidRPr="0013051B" w:rsidTr="002A3407">
        <w:trPr>
          <w:trHeight w:val="524"/>
        </w:trPr>
        <w:tc>
          <w:tcPr>
            <w:tcW w:w="9460" w:type="dxa"/>
            <w:gridSpan w:val="5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A24DF" w:rsidRPr="0013051B" w:rsidRDefault="006A24D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A24DF" w:rsidRPr="0013051B" w:rsidRDefault="006A24D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A5B6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F66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24DF" w:rsidRPr="0013051B" w:rsidTr="002A3407">
        <w:trPr>
          <w:trHeight w:val="524"/>
        </w:trPr>
        <w:tc>
          <w:tcPr>
            <w:tcW w:w="284" w:type="dxa"/>
            <w:vAlign w:val="bottom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24DF" w:rsidRPr="0013051B" w:rsidRDefault="006A24D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A24DF" w:rsidRPr="0013051B" w:rsidTr="002A3407">
        <w:trPr>
          <w:trHeight w:val="130"/>
        </w:trPr>
        <w:tc>
          <w:tcPr>
            <w:tcW w:w="9460" w:type="dxa"/>
            <w:gridSpan w:val="5"/>
          </w:tcPr>
          <w:p w:rsidR="006A24DF" w:rsidRPr="0013051B" w:rsidRDefault="006A24DF" w:rsidP="002A34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A24DF" w:rsidRPr="0013051B" w:rsidTr="002A3407">
        <w:tc>
          <w:tcPr>
            <w:tcW w:w="9460" w:type="dxa"/>
            <w:gridSpan w:val="5"/>
          </w:tcPr>
          <w:p w:rsidR="006A24DF" w:rsidRPr="0013051B" w:rsidRDefault="006A24DF" w:rsidP="002A34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A24DF" w:rsidRPr="0013051B" w:rsidRDefault="006A24D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A24DF" w:rsidRPr="0013051B" w:rsidRDefault="006A24D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A24DF" w:rsidRPr="0013051B" w:rsidTr="002A3407">
        <w:tc>
          <w:tcPr>
            <w:tcW w:w="9460" w:type="dxa"/>
            <w:gridSpan w:val="5"/>
          </w:tcPr>
          <w:p w:rsidR="006A24DF" w:rsidRPr="0013051B" w:rsidRDefault="006A24DF" w:rsidP="002A34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и условий расходования субсидий 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том числе за счет средств, поступивших от публично – правовой компании «Фонд развития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территории»  и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областного бюджета</w:t>
            </w:r>
          </w:p>
        </w:tc>
      </w:tr>
      <w:tr w:rsidR="006A24DF" w:rsidRPr="0013051B" w:rsidTr="002A3407">
        <w:tc>
          <w:tcPr>
            <w:tcW w:w="9460" w:type="dxa"/>
            <w:gridSpan w:val="5"/>
          </w:tcPr>
          <w:p w:rsidR="006A24DF" w:rsidRPr="0013051B" w:rsidRDefault="006A24DF" w:rsidP="002A34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A24DF" w:rsidRPr="0013051B" w:rsidRDefault="006A24DF" w:rsidP="002A34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на территории городского округа Верхняя Пышма Федерального закона от 21 июля 2007 года № 185-ФЗ «О Фонде содействия реформированию жилищно-коммунального хозяйства»,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со статьями 86, 132, 139, 152 Бюджетного кодекса Российской Федерации, статьями 12, 13 Закона Свердловской области от 15 июля 2005 года № 70-ОЗ </w:t>
      </w:r>
      <w:r>
        <w:rPr>
          <w:rFonts w:ascii="Liberation Serif" w:hAnsi="Liberation Serif"/>
          <w:sz w:val="28"/>
          <w:szCs w:val="28"/>
        </w:rPr>
        <w:br/>
        <w:t xml:space="preserve">«Об отдельных межбюджетных трансфертах, предоставляемых из областного бюджета и местных бюджетов в Свердловской области» и пунктом 12 главы 4 постановления Правительства Свердловской области от 01.04.2019 № 208-ПП «Об утверждении региональной адресной программы «Переселение граждан на территории Свердловской области из аварийного жилищного фонда в </w:t>
      </w:r>
      <w:r>
        <w:rPr>
          <w:rFonts w:ascii="Liberation Serif" w:hAnsi="Liberation Serif"/>
          <w:sz w:val="28"/>
          <w:szCs w:val="28"/>
        </w:rPr>
        <w:br/>
        <w:t>2019-2025 годах», статьей 28 Устава городского округа Верхняя Пышма администрация городского округа Верхняя Пышма</w:t>
      </w:r>
    </w:p>
    <w:p w:rsidR="006A24DF" w:rsidRPr="0013051B" w:rsidRDefault="006A24DF" w:rsidP="006A24D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и условия расходования субсидий 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том числе за счет средств, поступивших от </w:t>
      </w:r>
      <w:r w:rsidRPr="00445292">
        <w:rPr>
          <w:rFonts w:ascii="Liberation Serif" w:hAnsi="Liberation Serif"/>
          <w:sz w:val="28"/>
          <w:szCs w:val="28"/>
        </w:rPr>
        <w:t>публично – правовой компании «Фонд развития территории» и областного бюджета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23.06.2020 № 493 «Об утверждении порядка и условий расходования субсидий 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</w:t>
      </w:r>
      <w:r>
        <w:rPr>
          <w:rFonts w:ascii="Liberation Serif" w:hAnsi="Liberation Serif"/>
          <w:sz w:val="28"/>
          <w:szCs w:val="28"/>
        </w:rPr>
        <w:lastRenderedPageBreak/>
        <w:t>средств, поступивших от государственной корпорации – Фонд содействия реформированию жилищно-коммунального хозяйства и областного бюджета».</w:t>
      </w:r>
    </w:p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(http://www.movp.ru).</w:t>
      </w:r>
    </w:p>
    <w:p w:rsidR="006A24DF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A24DF" w:rsidRPr="0013051B" w:rsidRDefault="006A24DF" w:rsidP="006A2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A24DF" w:rsidRPr="0013051B" w:rsidTr="002A3407">
        <w:tc>
          <w:tcPr>
            <w:tcW w:w="6237" w:type="dxa"/>
            <w:vAlign w:val="bottom"/>
          </w:tcPr>
          <w:p w:rsidR="006A24DF" w:rsidRPr="0013051B" w:rsidRDefault="006A24DF" w:rsidP="002A340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A24DF" w:rsidRPr="0013051B" w:rsidRDefault="006A24DF" w:rsidP="002A34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A24DF" w:rsidRDefault="006A24DF"/>
    <w:p w:rsidR="006A24DF" w:rsidRDefault="006A24DF">
      <w:pPr>
        <w:spacing w:after="160" w:line="259" w:lineRule="auto"/>
      </w:pPr>
      <w:r>
        <w:br w:type="page"/>
      </w:r>
    </w:p>
    <w:p w:rsidR="006A24DF" w:rsidRPr="003C063F" w:rsidRDefault="006A24DF" w:rsidP="006A24D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DF" w:rsidRPr="00933D3D" w:rsidRDefault="006A24DF" w:rsidP="006A24D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68679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6A24DF" w:rsidRPr="003C063F" w:rsidRDefault="006A24DF" w:rsidP="006A24D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A24DF" w:rsidRPr="003C063F" w:rsidRDefault="006A24DF" w:rsidP="006A24D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A24D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686794"/>
                                <w:p w:rsidR="006A24DF" w:rsidRPr="003C063F" w:rsidRDefault="006A24D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1732192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24DF" w:rsidRPr="003C063F" w:rsidRDefault="006A24D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173219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A24DF" w:rsidRPr="003C063F" w:rsidRDefault="006A24D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9197239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24DF" w:rsidRPr="003C063F" w:rsidRDefault="006A24D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91972397"/>
                                </w:p>
                              </w:tc>
                            </w:tr>
                          </w:tbl>
                          <w:p w:rsidR="006A24DF" w:rsidRPr="003C063F" w:rsidRDefault="006A24DF" w:rsidP="006A24D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A24DF" w:rsidRPr="003C063F" w:rsidRDefault="006A24DF" w:rsidP="006A24D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A24DF" w:rsidRPr="003C063F" w:rsidRDefault="006A24DF" w:rsidP="006A24D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A24DF" w:rsidRPr="00933D3D" w:rsidRDefault="006A24DF" w:rsidP="006A24D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68679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6A24DF" w:rsidRPr="003C063F" w:rsidRDefault="006A24DF" w:rsidP="006A24D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A24DF" w:rsidRPr="003C063F" w:rsidRDefault="006A24DF" w:rsidP="006A24D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A24D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686794"/>
                          <w:p w:rsidR="006A24DF" w:rsidRPr="003C063F" w:rsidRDefault="006A24D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1732192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24DF" w:rsidRPr="003C063F" w:rsidRDefault="006A24D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173219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A24DF" w:rsidRPr="003C063F" w:rsidRDefault="006A24D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9197239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24DF" w:rsidRPr="003C063F" w:rsidRDefault="006A24D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91972397"/>
                          </w:p>
                        </w:tc>
                      </w:tr>
                    </w:tbl>
                    <w:p w:rsidR="006A24DF" w:rsidRPr="003C063F" w:rsidRDefault="006A24DF" w:rsidP="006A24D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A24DF" w:rsidRPr="003C063F" w:rsidRDefault="006A24DF" w:rsidP="006A24D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A24DF" w:rsidRPr="003C063F" w:rsidRDefault="006A24DF" w:rsidP="006A24D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24DF" w:rsidRDefault="006A24DF" w:rsidP="006A24DF">
      <w:pPr>
        <w:jc w:val="center"/>
        <w:rPr>
          <w:rFonts w:ascii="Liberation Serif" w:hAnsi="Liberation Serif"/>
          <w:sz w:val="28"/>
          <w:szCs w:val="28"/>
        </w:rPr>
      </w:pPr>
    </w:p>
    <w:p w:rsidR="006A24DF" w:rsidRPr="003C063F" w:rsidRDefault="006A24DF" w:rsidP="006A24DF">
      <w:pPr>
        <w:jc w:val="center"/>
        <w:rPr>
          <w:rFonts w:ascii="Liberation Serif" w:hAnsi="Liberation Serif"/>
          <w:sz w:val="28"/>
          <w:szCs w:val="28"/>
        </w:rPr>
      </w:pPr>
    </w:p>
    <w:p w:rsidR="006A24DF" w:rsidRPr="003C063F" w:rsidRDefault="006A24DF" w:rsidP="006A24DF">
      <w:pPr>
        <w:jc w:val="center"/>
        <w:rPr>
          <w:rFonts w:ascii="Liberation Serif" w:hAnsi="Liberation Serif"/>
          <w:sz w:val="28"/>
          <w:szCs w:val="28"/>
        </w:rPr>
      </w:pPr>
    </w:p>
    <w:p w:rsidR="006A24DF" w:rsidRPr="003C063F" w:rsidRDefault="006A24DF" w:rsidP="006A24DF">
      <w:pPr>
        <w:jc w:val="center"/>
        <w:rPr>
          <w:rFonts w:ascii="Liberation Serif" w:hAnsi="Liberation Serif"/>
          <w:sz w:val="28"/>
          <w:szCs w:val="28"/>
        </w:rPr>
      </w:pPr>
    </w:p>
    <w:p w:rsidR="006A24DF" w:rsidRPr="000F5FBB" w:rsidRDefault="006A24DF" w:rsidP="006A24DF">
      <w:pPr>
        <w:jc w:val="center"/>
        <w:rPr>
          <w:rFonts w:ascii="Liberation Serif" w:hAnsi="Liberation Serif"/>
          <w:b/>
          <w:sz w:val="28"/>
          <w:szCs w:val="28"/>
        </w:rPr>
      </w:pPr>
      <w:r w:rsidRPr="000F5FBB">
        <w:rPr>
          <w:rFonts w:ascii="Liberation Serif" w:hAnsi="Liberation Serif"/>
          <w:b/>
          <w:sz w:val="28"/>
          <w:szCs w:val="28"/>
        </w:rPr>
        <w:t>Порядок и условия</w:t>
      </w:r>
    </w:p>
    <w:p w:rsidR="006A24DF" w:rsidRPr="000F5FBB" w:rsidRDefault="006A24DF" w:rsidP="006A24DF">
      <w:pPr>
        <w:jc w:val="center"/>
        <w:rPr>
          <w:rFonts w:ascii="Liberation Serif" w:hAnsi="Liberation Serif"/>
          <w:b/>
          <w:sz w:val="28"/>
          <w:szCs w:val="28"/>
        </w:rPr>
      </w:pPr>
      <w:r w:rsidRPr="000F5FBB">
        <w:rPr>
          <w:rFonts w:ascii="Liberation Serif" w:hAnsi="Liberation Serif"/>
          <w:b/>
          <w:sz w:val="28"/>
          <w:szCs w:val="28"/>
        </w:rPr>
        <w:t xml:space="preserve">расходования субсидий 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том числе за счет средств, от публично – правовой компании «Фонд развития территории» </w:t>
      </w:r>
      <w:r>
        <w:rPr>
          <w:rFonts w:ascii="Liberation Serif" w:hAnsi="Liberation Serif"/>
          <w:b/>
          <w:sz w:val="28"/>
          <w:szCs w:val="28"/>
        </w:rPr>
        <w:t>и областного бюджета</w:t>
      </w:r>
    </w:p>
    <w:p w:rsidR="006A24DF" w:rsidRPr="002D3BF1" w:rsidRDefault="006A24DF" w:rsidP="006A24DF">
      <w:pPr>
        <w:rPr>
          <w:rFonts w:ascii="Liberation Serif" w:hAnsi="Liberation Serif"/>
          <w:sz w:val="28"/>
          <w:szCs w:val="28"/>
        </w:rPr>
      </w:pPr>
    </w:p>
    <w:p w:rsidR="006A24DF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3820CB">
        <w:rPr>
          <w:rFonts w:ascii="Liberation Serif" w:hAnsi="Liberation Serif"/>
          <w:sz w:val="28"/>
          <w:szCs w:val="28"/>
        </w:rPr>
        <w:t xml:space="preserve">Настоящий Порядок разработан в соответствии с Бюджетным кодексом Российской Федерации,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3820CB">
        <w:rPr>
          <w:rFonts w:ascii="Liberation Serif" w:hAnsi="Liberation Serif"/>
          <w:sz w:val="28"/>
          <w:szCs w:val="28"/>
        </w:rPr>
        <w:t xml:space="preserve">от 21 июля 2007 года № 185-ФЗ «О Фонде содействия реформированию жилищно-коммунального хозяйства»,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3820CB">
        <w:rPr>
          <w:rFonts w:ascii="Liberation Serif" w:hAnsi="Liberation Serif"/>
          <w:sz w:val="28"/>
          <w:szCs w:val="28"/>
        </w:rPr>
        <w:t xml:space="preserve">от 15 июля 2005 года № 70-ОЗ «Об отдельных межбюджетных трансфертах, предоставляемых из областного бюджета и местных бюджетов </w:t>
      </w:r>
      <w:r>
        <w:rPr>
          <w:rFonts w:ascii="Liberation Serif" w:hAnsi="Liberation Serif"/>
          <w:sz w:val="28"/>
          <w:szCs w:val="28"/>
        </w:rPr>
        <w:br/>
      </w:r>
      <w:r w:rsidRPr="003820CB">
        <w:rPr>
          <w:rFonts w:ascii="Liberation Serif" w:hAnsi="Liberation Serif"/>
          <w:sz w:val="28"/>
          <w:szCs w:val="28"/>
        </w:rPr>
        <w:t>в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</w:p>
    <w:p w:rsidR="006A24DF" w:rsidRPr="002D3BF1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2D3BF1">
        <w:rPr>
          <w:rFonts w:ascii="Liberation Serif" w:hAnsi="Liberation Serif"/>
          <w:sz w:val="28"/>
          <w:szCs w:val="28"/>
        </w:rPr>
        <w:t xml:space="preserve">Настоящий Порядок определяет </w:t>
      </w:r>
      <w:r>
        <w:rPr>
          <w:rFonts w:ascii="Liberation Serif" w:hAnsi="Liberation Serif"/>
          <w:sz w:val="28"/>
          <w:szCs w:val="28"/>
        </w:rPr>
        <w:t xml:space="preserve">порядок и </w:t>
      </w:r>
      <w:r w:rsidRPr="002D3BF1">
        <w:rPr>
          <w:rFonts w:ascii="Liberation Serif" w:hAnsi="Liberation Serif"/>
          <w:sz w:val="28"/>
          <w:szCs w:val="28"/>
        </w:rPr>
        <w:t>условия расходования субсидий из областного бюджета</w:t>
      </w:r>
      <w:r>
        <w:rPr>
          <w:rFonts w:ascii="Liberation Serif" w:hAnsi="Liberation Serif"/>
          <w:sz w:val="28"/>
          <w:szCs w:val="28"/>
        </w:rPr>
        <w:t xml:space="preserve">, предоставленных </w:t>
      </w:r>
      <w:r w:rsidRPr="002D3BF1">
        <w:rPr>
          <w:rFonts w:ascii="Liberation Serif" w:hAnsi="Liberation Serif"/>
          <w:sz w:val="28"/>
          <w:szCs w:val="28"/>
        </w:rPr>
        <w:t>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rPr>
          <w:rFonts w:ascii="Liberation Serif" w:hAnsi="Liberation Serif"/>
          <w:sz w:val="28"/>
          <w:szCs w:val="28"/>
        </w:rPr>
        <w:t>,</w:t>
      </w:r>
      <w:r w:rsidRPr="002D3BF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том числе </w:t>
      </w:r>
      <w:r w:rsidRPr="002D3BF1">
        <w:rPr>
          <w:rFonts w:ascii="Liberation Serif" w:hAnsi="Liberation Serif"/>
          <w:sz w:val="28"/>
          <w:szCs w:val="28"/>
        </w:rPr>
        <w:t xml:space="preserve">за счет средств, поступивших </w:t>
      </w:r>
      <w:r w:rsidRPr="003820CB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публично</w:t>
      </w:r>
      <w:r w:rsidRPr="003820C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 правовой компании «</w:t>
      </w:r>
      <w:r w:rsidRPr="003820CB">
        <w:rPr>
          <w:rFonts w:ascii="Liberation Serif" w:hAnsi="Liberation Serif"/>
          <w:sz w:val="28"/>
          <w:szCs w:val="28"/>
        </w:rPr>
        <w:t xml:space="preserve">Фонд </w:t>
      </w:r>
      <w:r>
        <w:rPr>
          <w:rFonts w:ascii="Liberation Serif" w:hAnsi="Liberation Serif"/>
          <w:sz w:val="28"/>
          <w:szCs w:val="28"/>
        </w:rPr>
        <w:t>развития территории</w:t>
      </w:r>
      <w:r w:rsidRPr="003820CB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и областного бюджета (далее - С</w:t>
      </w:r>
      <w:r w:rsidRPr="002D3BF1">
        <w:rPr>
          <w:rFonts w:ascii="Liberation Serif" w:hAnsi="Liberation Serif"/>
          <w:sz w:val="28"/>
          <w:szCs w:val="28"/>
        </w:rPr>
        <w:t>убсидии).</w:t>
      </w:r>
    </w:p>
    <w:p w:rsidR="006A24DF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D3BF1">
        <w:rPr>
          <w:rFonts w:ascii="Liberation Serif" w:hAnsi="Liberation Serif"/>
          <w:sz w:val="28"/>
          <w:szCs w:val="28"/>
        </w:rPr>
        <w:t>.</w:t>
      </w:r>
      <w:r w:rsidRPr="003820CB">
        <w:t xml:space="preserve"> </w:t>
      </w:r>
      <w:r w:rsidRPr="003820CB">
        <w:rPr>
          <w:rFonts w:ascii="Liberation Serif" w:hAnsi="Liberation Serif"/>
          <w:sz w:val="28"/>
          <w:szCs w:val="28"/>
        </w:rPr>
        <w:t xml:space="preserve">Субсидии из областного бюджета подлежат зачислению в доход бюджета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по кодам бюджетной классификации </w:t>
      </w:r>
      <w:r w:rsidRPr="00BC28B4">
        <w:rPr>
          <w:rFonts w:ascii="Liberation Serif" w:hAnsi="Liberation Serif"/>
          <w:sz w:val="28"/>
          <w:szCs w:val="28"/>
        </w:rPr>
        <w:t>20220299040000150</w:t>
      </w:r>
      <w:r>
        <w:rPr>
          <w:rFonts w:ascii="Liberation Serif" w:hAnsi="Liberation Serif"/>
          <w:sz w:val="28"/>
          <w:szCs w:val="28"/>
        </w:rPr>
        <w:t xml:space="preserve"> и </w:t>
      </w:r>
      <w:r w:rsidRPr="00BC28B4">
        <w:rPr>
          <w:rFonts w:ascii="Liberation Serif" w:hAnsi="Liberation Serif"/>
          <w:sz w:val="28"/>
          <w:szCs w:val="28"/>
        </w:rPr>
        <w:t>20220302040000150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820CB">
        <w:rPr>
          <w:rFonts w:ascii="Liberation Serif" w:hAnsi="Liberation Serif"/>
          <w:sz w:val="28"/>
          <w:szCs w:val="28"/>
        </w:rPr>
        <w:t xml:space="preserve">и расходованию на проведение мероприятий по переселению граждан из аварийного жилищного фонда по разделу 0500 «Жилищно-коммунальное хозяйство», подразделу 0501 «Жилищное хозяйство», целевым статьям </w:t>
      </w:r>
      <w:r>
        <w:rPr>
          <w:rFonts w:ascii="Liberation Serif" w:hAnsi="Liberation Serif"/>
          <w:sz w:val="28"/>
          <w:szCs w:val="28"/>
        </w:rPr>
        <w:t>062</w:t>
      </w:r>
      <w:r>
        <w:rPr>
          <w:rFonts w:ascii="Liberation Serif" w:hAnsi="Liberation Serif"/>
          <w:sz w:val="28"/>
          <w:szCs w:val="28"/>
          <w:lang w:val="en-US"/>
        </w:rPr>
        <w:t>F</w:t>
      </w:r>
      <w:r w:rsidRPr="00B241B4">
        <w:rPr>
          <w:rFonts w:ascii="Liberation Serif" w:hAnsi="Liberation Serif"/>
          <w:sz w:val="28"/>
          <w:szCs w:val="28"/>
        </w:rPr>
        <w:t xml:space="preserve">367483 </w:t>
      </w:r>
      <w:r w:rsidRPr="003820CB">
        <w:rPr>
          <w:rFonts w:ascii="Liberation Serif" w:hAnsi="Liberation Serif"/>
          <w:sz w:val="28"/>
          <w:szCs w:val="28"/>
        </w:rPr>
        <w:t xml:space="preserve">«Переселение граждан из аварийного жилищного фонда за счет средств, поступивших </w:t>
      </w:r>
      <w:r>
        <w:rPr>
          <w:rFonts w:ascii="Liberation Serif" w:hAnsi="Liberation Serif"/>
          <w:sz w:val="28"/>
          <w:szCs w:val="28"/>
        </w:rPr>
        <w:br/>
      </w:r>
      <w:r w:rsidRPr="003820CB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публично</w:t>
      </w:r>
      <w:r w:rsidRPr="003820C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 правовой компании «</w:t>
      </w:r>
      <w:r w:rsidRPr="003820CB">
        <w:rPr>
          <w:rFonts w:ascii="Liberation Serif" w:hAnsi="Liberation Serif"/>
          <w:sz w:val="28"/>
          <w:szCs w:val="28"/>
        </w:rPr>
        <w:t xml:space="preserve">Фонд </w:t>
      </w:r>
      <w:r>
        <w:rPr>
          <w:rFonts w:ascii="Liberation Serif" w:hAnsi="Liberation Serif"/>
          <w:sz w:val="28"/>
          <w:szCs w:val="28"/>
        </w:rPr>
        <w:t>развития территории</w:t>
      </w:r>
      <w:r w:rsidRPr="003820CB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062</w:t>
      </w:r>
      <w:r>
        <w:rPr>
          <w:rFonts w:ascii="Liberation Serif" w:hAnsi="Liberation Serif"/>
          <w:sz w:val="28"/>
          <w:szCs w:val="28"/>
          <w:lang w:val="en-US"/>
        </w:rPr>
        <w:t>F</w:t>
      </w:r>
      <w:r>
        <w:rPr>
          <w:rFonts w:ascii="Liberation Serif" w:hAnsi="Liberation Serif"/>
          <w:sz w:val="28"/>
          <w:szCs w:val="28"/>
        </w:rPr>
        <w:t xml:space="preserve">367484 </w:t>
      </w:r>
      <w:r w:rsidRPr="003820CB">
        <w:rPr>
          <w:rFonts w:ascii="Liberation Serif" w:hAnsi="Liberation Serif"/>
          <w:sz w:val="28"/>
          <w:szCs w:val="28"/>
        </w:rPr>
        <w:t>«Переселение граждан из аварийного жилищного фонда».</w:t>
      </w:r>
    </w:p>
    <w:p w:rsidR="006A24DF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Главным администратором доходов и главным распорядителем средств, предоставленных из областного бюджета бюджету городского округа Верхняя Пышма в форме субсидии, является администрация городского округа Верхняя Пышма (далее – Администрация).</w:t>
      </w:r>
    </w:p>
    <w:p w:rsidR="006A24DF" w:rsidRPr="002D3BF1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D3BF1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Администрацией р</w:t>
      </w:r>
      <w:r w:rsidRPr="002D3BF1">
        <w:rPr>
          <w:rFonts w:ascii="Liberation Serif" w:hAnsi="Liberation Serif"/>
          <w:sz w:val="28"/>
          <w:szCs w:val="28"/>
        </w:rPr>
        <w:t xml:space="preserve">асходование </w:t>
      </w:r>
      <w:r>
        <w:rPr>
          <w:rFonts w:ascii="Liberation Serif" w:hAnsi="Liberation Serif"/>
          <w:sz w:val="28"/>
          <w:szCs w:val="28"/>
        </w:rPr>
        <w:t>Субсидий, предусмотренных С</w:t>
      </w:r>
      <w:r w:rsidRPr="002D3BF1">
        <w:rPr>
          <w:rFonts w:ascii="Liberation Serif" w:hAnsi="Liberation Serif"/>
          <w:sz w:val="28"/>
          <w:szCs w:val="28"/>
        </w:rPr>
        <w:t xml:space="preserve">оглашением на реализацию </w:t>
      </w:r>
      <w:r>
        <w:rPr>
          <w:rFonts w:ascii="Liberation Serif" w:hAnsi="Liberation Serif"/>
          <w:sz w:val="28"/>
          <w:szCs w:val="28"/>
        </w:rPr>
        <w:t>Региональной адресной п</w:t>
      </w:r>
      <w:r w:rsidRPr="002D3BF1">
        <w:rPr>
          <w:rFonts w:ascii="Liberation Serif" w:hAnsi="Liberation Serif"/>
          <w:sz w:val="28"/>
          <w:szCs w:val="28"/>
        </w:rPr>
        <w:t>рограммы</w:t>
      </w:r>
      <w:r>
        <w:rPr>
          <w:rFonts w:ascii="Liberation Serif" w:hAnsi="Liberation Serif"/>
          <w:sz w:val="28"/>
          <w:szCs w:val="28"/>
        </w:rPr>
        <w:t xml:space="preserve"> «Переселение граждан на территории Свердловской области из аварийного жилищного фонда в 2019-2025 годах»</w:t>
      </w:r>
      <w:r w:rsidRPr="002D3BF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заключаемых между Министерством строительства и развития инфраструктуры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(далее – Министерство) и Администрацией (далее – Соглашение)</w:t>
      </w:r>
      <w:r w:rsidRPr="002D3BF1">
        <w:rPr>
          <w:rFonts w:ascii="Liberation Serif" w:hAnsi="Liberation Serif"/>
          <w:sz w:val="28"/>
          <w:szCs w:val="28"/>
        </w:rPr>
        <w:t xml:space="preserve"> </w:t>
      </w:r>
      <w:r w:rsidRPr="00F40011">
        <w:rPr>
          <w:rFonts w:ascii="Liberation Serif" w:hAnsi="Liberation Serif"/>
          <w:sz w:val="28"/>
          <w:szCs w:val="28"/>
        </w:rPr>
        <w:t xml:space="preserve">осуществляется в соответствии с </w:t>
      </w:r>
      <w:r>
        <w:rPr>
          <w:rFonts w:ascii="Liberation Serif" w:hAnsi="Liberation Serif"/>
          <w:sz w:val="28"/>
          <w:szCs w:val="28"/>
        </w:rPr>
        <w:t xml:space="preserve">постановлением Правительства </w:t>
      </w:r>
      <w:r w:rsidRPr="00F40011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>вердловской области</w:t>
      </w:r>
      <w:r w:rsidRPr="00F40011">
        <w:rPr>
          <w:rFonts w:ascii="Liberation Serif" w:hAnsi="Liberation Serif"/>
          <w:sz w:val="28"/>
          <w:szCs w:val="28"/>
        </w:rPr>
        <w:t xml:space="preserve"> от 04.06.2020 № 373-ПП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D3BF1">
        <w:rPr>
          <w:rFonts w:ascii="Liberation Serif" w:hAnsi="Liberation Serif"/>
          <w:sz w:val="28"/>
          <w:szCs w:val="28"/>
        </w:rPr>
        <w:t>на:</w:t>
      </w:r>
    </w:p>
    <w:p w:rsidR="006A24DF" w:rsidRDefault="006A24DF" w:rsidP="006A24D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приобретение жилых помещений в многоквартирных домах, а также в жилых домах, указанных в пункте 2 части 2 статьи 49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</w:t>
      </w:r>
      <w:r>
        <w:rPr>
          <w:rFonts w:ascii="Liberation Serif" w:hAnsi="Liberation Serif" w:cs="Liberation Serif"/>
          <w:sz w:val="28"/>
          <w:szCs w:val="28"/>
        </w:rPr>
        <w:br/>
        <w:t xml:space="preserve">из аварийного жилищного фонда, путем </w:t>
      </w:r>
      <w:r>
        <w:rPr>
          <w:rFonts w:ascii="Liberation Serif" w:hAnsi="Liberation Serif"/>
          <w:sz w:val="28"/>
          <w:szCs w:val="28"/>
        </w:rPr>
        <w:t xml:space="preserve">заключения </w:t>
      </w:r>
      <w:r>
        <w:rPr>
          <w:rFonts w:ascii="Liberation Serif" w:hAnsi="Liberation Serif"/>
          <w:sz w:val="28"/>
          <w:szCs w:val="28"/>
        </w:rPr>
        <w:br/>
        <w:t>муниципальных</w:t>
      </w:r>
      <w:r w:rsidRPr="0068260D">
        <w:rPr>
          <w:rFonts w:ascii="Liberation Serif" w:hAnsi="Liberation Serif"/>
          <w:sz w:val="28"/>
          <w:szCs w:val="28"/>
        </w:rPr>
        <w:t xml:space="preserve"> контракт</w:t>
      </w:r>
      <w:r>
        <w:rPr>
          <w:rFonts w:ascii="Liberation Serif" w:hAnsi="Liberation Serif"/>
          <w:sz w:val="28"/>
          <w:szCs w:val="28"/>
        </w:rPr>
        <w:t>ов</w:t>
      </w:r>
      <w:r w:rsidRPr="0068260D">
        <w:rPr>
          <w:rFonts w:ascii="Liberation Serif" w:hAnsi="Liberation Serif"/>
          <w:sz w:val="28"/>
          <w:szCs w:val="28"/>
        </w:rPr>
        <w:t xml:space="preserve">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68260D">
        <w:rPr>
          <w:rFonts w:ascii="Liberation Serif" w:hAnsi="Liberation Serif"/>
          <w:sz w:val="28"/>
          <w:szCs w:val="28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A24DF" w:rsidRDefault="006A24DF" w:rsidP="006A24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выплату гражданам, в чьей собственности находятся жилые помещения, входящие в аварийный жилищный фонд, возмещения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изымаемые жилые помещения в соответствии с частью 7 статьи 32 Жилищного кодекса Российской Федерации, путем заключения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собственниками Соглашений </w:t>
      </w:r>
      <w:r w:rsidRPr="008A7E63">
        <w:rPr>
          <w:rFonts w:ascii="Liberation Serif" w:hAnsi="Liberation Serif" w:cs="Liberation Serif"/>
          <w:sz w:val="28"/>
          <w:szCs w:val="28"/>
        </w:rPr>
        <w:t>о выкупе жилого помещения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A7E63">
        <w:rPr>
          <w:rFonts w:ascii="Liberation Serif" w:hAnsi="Liberation Serif" w:cs="Liberation Serif"/>
          <w:sz w:val="28"/>
          <w:szCs w:val="28"/>
        </w:rPr>
        <w:t>с выплатой стоимости выкупной це</w:t>
      </w:r>
      <w:r>
        <w:rPr>
          <w:rFonts w:ascii="Liberation Serif" w:hAnsi="Liberation Serif" w:cs="Liberation Serif"/>
          <w:sz w:val="28"/>
          <w:szCs w:val="28"/>
        </w:rPr>
        <w:t>ны.</w:t>
      </w:r>
    </w:p>
    <w:p w:rsidR="006A24DF" w:rsidRDefault="006A24DF" w:rsidP="006A24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Переселение граждан из аварийного жилищного фонда осуществляется в соответствии со статьями 32 и 86, частями 2 и 3 статьи 88 Жилищного кодекса Российской Федерации и часть 3 статьи 16 Федерального закона от 21 июля 2007 года № 185-ФЗ.</w:t>
      </w:r>
    </w:p>
    <w:p w:rsidR="006A24DF" w:rsidRDefault="006A24DF" w:rsidP="006A24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способы переселения граждан из аварийного жилищного фонда в рамках реализации мероприятий Региональной программы с привлечением финансовой поддержки Фонда не допускаются.</w:t>
      </w:r>
    </w:p>
    <w:p w:rsidR="006A24DF" w:rsidRDefault="006A24DF" w:rsidP="006A24D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2D3BF1">
        <w:rPr>
          <w:rFonts w:ascii="Liberation Serif" w:hAnsi="Liberation Serif"/>
          <w:sz w:val="28"/>
          <w:szCs w:val="28"/>
        </w:rPr>
        <w:t xml:space="preserve">. В случае уменьшения объема финансирования мероприятий по переселению граждан из аварийного жилищного фонда по результатам торгов и при наличии экономии средств в процессе реализации мероприятий объем </w:t>
      </w:r>
      <w:r>
        <w:rPr>
          <w:rFonts w:ascii="Liberation Serif" w:hAnsi="Liberation Serif"/>
          <w:sz w:val="28"/>
          <w:szCs w:val="28"/>
        </w:rPr>
        <w:t xml:space="preserve">Субсидии </w:t>
      </w:r>
      <w:r w:rsidRPr="002D3BF1">
        <w:rPr>
          <w:rFonts w:ascii="Liberation Serif" w:hAnsi="Liberation Serif"/>
          <w:sz w:val="28"/>
          <w:szCs w:val="28"/>
        </w:rPr>
        <w:t xml:space="preserve">подлежит уменьшению в размере, пропорциональном доле </w:t>
      </w:r>
      <w:proofErr w:type="spellStart"/>
      <w:r w:rsidRPr="002D3BF1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2D3BF1">
        <w:rPr>
          <w:rFonts w:ascii="Liberation Serif" w:hAnsi="Liberation Serif"/>
          <w:sz w:val="28"/>
          <w:szCs w:val="28"/>
        </w:rPr>
        <w:t xml:space="preserve"> из средств, поступивших </w:t>
      </w:r>
      <w:r w:rsidRPr="003820CB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публично</w:t>
      </w:r>
      <w:r w:rsidRPr="003820C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 правовой компании «</w:t>
      </w:r>
      <w:r w:rsidRPr="003820CB">
        <w:rPr>
          <w:rFonts w:ascii="Liberation Serif" w:hAnsi="Liberation Serif"/>
          <w:sz w:val="28"/>
          <w:szCs w:val="28"/>
        </w:rPr>
        <w:t xml:space="preserve">Фонд </w:t>
      </w:r>
      <w:r>
        <w:rPr>
          <w:rFonts w:ascii="Liberation Serif" w:hAnsi="Liberation Serif"/>
          <w:sz w:val="28"/>
          <w:szCs w:val="28"/>
        </w:rPr>
        <w:t>развития территории</w:t>
      </w:r>
      <w:r w:rsidRPr="003820CB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и средств областного бюджета</w:t>
      </w:r>
      <w:r w:rsidRPr="002D3BF1">
        <w:rPr>
          <w:rFonts w:ascii="Liberation Serif" w:hAnsi="Liberation Serif"/>
          <w:sz w:val="28"/>
          <w:szCs w:val="28"/>
        </w:rPr>
        <w:t>.</w:t>
      </w:r>
    </w:p>
    <w:p w:rsidR="006A24DF" w:rsidRDefault="006A24DF" w:rsidP="006A24D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Администрация в соответствии с Соглашением предоставляет в Министерство:</w:t>
      </w:r>
    </w:p>
    <w:p w:rsidR="006A24DF" w:rsidRPr="00F40011" w:rsidRDefault="006A24DF" w:rsidP="006A24DF">
      <w:pPr>
        <w:pStyle w:val="Default"/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F40011">
        <w:rPr>
          <w:rFonts w:ascii="Liberation Serif" w:eastAsia="Times New Roman" w:hAnsi="Liberation Serif"/>
          <w:color w:val="auto"/>
          <w:sz w:val="28"/>
          <w:szCs w:val="28"/>
        </w:rPr>
        <w:t xml:space="preserve">1) ежемесячно, до 05 числа месяца, следующего за отчетным, информацию об использовании межбюджетных трансфертов из бюджета субъекта Российской Федерации по форме по ОКУД 0503324; </w:t>
      </w:r>
    </w:p>
    <w:p w:rsidR="006A24DF" w:rsidRPr="00F40011" w:rsidRDefault="006A24DF" w:rsidP="006A24DF">
      <w:pPr>
        <w:pStyle w:val="Default"/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F40011">
        <w:rPr>
          <w:rFonts w:ascii="Liberation Serif" w:eastAsia="Times New Roman" w:hAnsi="Liberation Serif"/>
          <w:color w:val="auto"/>
          <w:sz w:val="28"/>
          <w:szCs w:val="28"/>
        </w:rPr>
        <w:t xml:space="preserve">2) ежемесячно, до 10 числа месяца, следующего за отчетным, отчеты по формам приложений № 6–8 к Соглашению; </w:t>
      </w:r>
    </w:p>
    <w:p w:rsidR="006A24DF" w:rsidRPr="00F40011" w:rsidRDefault="006A24DF" w:rsidP="006A24DF">
      <w:pPr>
        <w:pStyle w:val="Default"/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F40011">
        <w:rPr>
          <w:rFonts w:ascii="Liberation Serif" w:eastAsia="Times New Roman" w:hAnsi="Liberation Serif"/>
          <w:color w:val="auto"/>
          <w:sz w:val="28"/>
          <w:szCs w:val="28"/>
        </w:rPr>
        <w:t xml:space="preserve">3) ежемесячно, до 01 и 15 числа месяца, следующего за отчетным, конъюнктурный обзор реализации мероприятий по переселению граждан из жилых помещений, признанных непригодными для проживания, указанных в </w:t>
      </w:r>
      <w:r w:rsidRPr="00F40011">
        <w:rPr>
          <w:rFonts w:ascii="Liberation Serif" w:eastAsia="Times New Roman" w:hAnsi="Liberation Serif"/>
          <w:color w:val="auto"/>
          <w:sz w:val="28"/>
          <w:szCs w:val="28"/>
        </w:rPr>
        <w:lastRenderedPageBreak/>
        <w:t>приложении № 4 к Соглашению (за подписью главы</w:t>
      </w:r>
      <w:r>
        <w:rPr>
          <w:rFonts w:ascii="Liberation Serif" w:eastAsia="Times New Roman" w:hAnsi="Liberation Serif"/>
          <w:color w:val="auto"/>
          <w:sz w:val="28"/>
          <w:szCs w:val="28"/>
        </w:rPr>
        <w:t xml:space="preserve"> городского округа Верхняя Пышма</w:t>
      </w:r>
      <w:r w:rsidRPr="00F40011">
        <w:rPr>
          <w:rFonts w:ascii="Liberation Serif" w:eastAsia="Times New Roman" w:hAnsi="Liberation Serif"/>
          <w:color w:val="auto"/>
          <w:sz w:val="28"/>
          <w:szCs w:val="28"/>
        </w:rPr>
        <w:t xml:space="preserve">), с приложением не менее пяти фотографий, отражающих состояние реализации этих мероприятий; </w:t>
      </w:r>
    </w:p>
    <w:p w:rsidR="006A24DF" w:rsidRPr="00F40011" w:rsidRDefault="006A24DF" w:rsidP="006A24DF">
      <w:pPr>
        <w:pStyle w:val="Default"/>
        <w:ind w:firstLine="708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F40011">
        <w:rPr>
          <w:rFonts w:ascii="Liberation Serif" w:eastAsia="Times New Roman" w:hAnsi="Liberation Serif"/>
          <w:color w:val="auto"/>
          <w:sz w:val="28"/>
          <w:szCs w:val="28"/>
        </w:rPr>
        <w:t xml:space="preserve">4) другие документы и сведения, характеризующие состояние реализации мероприятий по переселению граждан из жилых помещений, признанных непригодными для проживания (по запросу Министерства). </w:t>
      </w:r>
    </w:p>
    <w:p w:rsidR="006A24DF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40011">
        <w:rPr>
          <w:rFonts w:ascii="Liberation Serif" w:hAnsi="Liberation Serif"/>
          <w:sz w:val="28"/>
          <w:szCs w:val="28"/>
        </w:rPr>
        <w:t xml:space="preserve">Отчетные материалы предоставляются в Министерство на бумажном носителе и в виде электронного документа на адрес электронной </w:t>
      </w:r>
      <w:r>
        <w:rPr>
          <w:rFonts w:ascii="Liberation Serif" w:hAnsi="Liberation Serif"/>
          <w:sz w:val="28"/>
          <w:szCs w:val="28"/>
        </w:rPr>
        <w:t>почты ответственного специалиста Министерства</w:t>
      </w:r>
      <w:r w:rsidRPr="00F40011">
        <w:rPr>
          <w:rFonts w:ascii="Liberation Serif" w:hAnsi="Liberation Serif"/>
          <w:sz w:val="28"/>
          <w:szCs w:val="28"/>
        </w:rPr>
        <w:t>.</w:t>
      </w:r>
    </w:p>
    <w:p w:rsidR="006A24DF" w:rsidRPr="002D3BF1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Не использованный по состоянию на 1 января финансового года, следующего за отчетным, остаток Субсидии Администрация возвращает в областной бюджет в сроки, установленные бюджетным законодательством Российской Федерации.</w:t>
      </w:r>
    </w:p>
    <w:p w:rsidR="006A24DF" w:rsidRPr="002D3BF1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2D3BF1">
        <w:rPr>
          <w:rFonts w:ascii="Liberation Serif" w:hAnsi="Liberation Serif"/>
          <w:sz w:val="28"/>
          <w:szCs w:val="28"/>
        </w:rPr>
        <w:t>. Средства, полученные из областного бюджета в форме субсидий, носят целевой характер и не могут быть использованы на иные цели.</w:t>
      </w:r>
    </w:p>
    <w:p w:rsidR="006A24DF" w:rsidRPr="002D3BF1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D3BF1"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законодательством.</w:t>
      </w:r>
    </w:p>
    <w:p w:rsidR="006A24DF" w:rsidRPr="003C063F" w:rsidRDefault="006A24DF" w:rsidP="006A24D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2D3BF1">
        <w:rPr>
          <w:rFonts w:ascii="Liberation Serif" w:hAnsi="Liberation Serif"/>
          <w:sz w:val="28"/>
          <w:szCs w:val="28"/>
        </w:rPr>
        <w:t xml:space="preserve">. </w:t>
      </w:r>
      <w:r w:rsidRPr="00F40011">
        <w:rPr>
          <w:rFonts w:ascii="Liberation Serif" w:hAnsi="Liberation Serif"/>
          <w:sz w:val="28"/>
          <w:szCs w:val="28"/>
        </w:rPr>
        <w:t>Финансовый контроль за целевым использованием средств, предоставленных в виде Субсидий, осуществляется Администрацией и Финансовым управлением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:rsidR="00C61427" w:rsidRDefault="00C61427">
      <w:bookmarkStart w:id="0" w:name="_GoBack"/>
      <w:bookmarkEnd w:id="0"/>
    </w:p>
    <w:sectPr w:rsidR="00C6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BE"/>
    <w:rsid w:val="003961BE"/>
    <w:rsid w:val="006A24DF"/>
    <w:rsid w:val="00C6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32D0-7F8F-416D-B100-9F2CF54E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4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2023-04-26T12:41:00Z</dcterms:created>
  <dcterms:modified xsi:type="dcterms:W3CDTF">2023-04-26T12:42:00Z</dcterms:modified>
</cp:coreProperties>
</file>