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21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02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67131" w:rsidRDefault="0034249A" w:rsidP="00F6713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>разрешени</w:t>
            </w:r>
            <w:r w:rsidR="00F67131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в отношении земельного участка с кадастровым номером </w:t>
            </w:r>
            <w:r w:rsidR="003963E1">
              <w:rPr>
                <w:rFonts w:ascii="Liberation Serif" w:hAnsi="Liberation Serif" w:cs="Arial"/>
                <w:sz w:val="28"/>
                <w:szCs w:val="28"/>
              </w:rPr>
              <w:t xml:space="preserve">66:36:0103007:1368, расположенного по адресу: Российская Федерация, Свердловская область, г Верхняя Пышма, в районе ул. </w:t>
            </w:r>
            <w:proofErr w:type="spellStart"/>
            <w:r w:rsidR="003963E1">
              <w:rPr>
                <w:rFonts w:ascii="Liberation Serif" w:hAnsi="Liberation Serif" w:cs="Arial"/>
                <w:sz w:val="28"/>
                <w:szCs w:val="28"/>
              </w:rPr>
              <w:t>Гальянова</w:t>
            </w:r>
            <w:proofErr w:type="spellEnd"/>
            <w:r w:rsidR="003963E1">
              <w:rPr>
                <w:rFonts w:ascii="Liberation Serif" w:hAnsi="Liberation Serif" w:cs="Arial"/>
                <w:sz w:val="28"/>
                <w:szCs w:val="28"/>
              </w:rPr>
              <w:t>- ул. Сварщиков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3963E1">
              <w:rPr>
                <w:rFonts w:ascii="Liberation Serif" w:hAnsi="Liberation Serif" w:cs="Arial"/>
                <w:sz w:val="28"/>
                <w:szCs w:val="28"/>
              </w:rPr>
              <w:t>в части увеличения максимального процента застройки (отношение площади застройки к площади земельного участка, выраженное в процентах) в размере 95%</w:t>
            </w:r>
            <w:r w:rsidR="00F055B5" w:rsidRPr="00F6713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3963E1"/>
    <w:rsid w:val="00457864"/>
    <w:rsid w:val="005A37AE"/>
    <w:rsid w:val="007F1526"/>
    <w:rsid w:val="00B40486"/>
    <w:rsid w:val="00BF5678"/>
    <w:rsid w:val="00C47AF3"/>
    <w:rsid w:val="00C94827"/>
    <w:rsid w:val="00CB7804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2023-09-08T09:21:00Z</cp:lastPrinted>
  <dcterms:created xsi:type="dcterms:W3CDTF">2023-10-19T09:12:00Z</dcterms:created>
  <dcterms:modified xsi:type="dcterms:W3CDTF">2023-10-19T09:12:00Z</dcterms:modified>
</cp:coreProperties>
</file>