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2"/>
        <w:gridCol w:w="424"/>
        <w:gridCol w:w="562"/>
        <w:gridCol w:w="6135"/>
      </w:tblGrid>
      <w:tr w:rsidR="00127E12" w:rsidTr="00127E12">
        <w:trPr>
          <w:trHeight w:val="524"/>
        </w:trPr>
        <w:tc>
          <w:tcPr>
            <w:tcW w:w="9460" w:type="dxa"/>
            <w:gridSpan w:val="5"/>
            <w:hideMark/>
          </w:tcPr>
          <w:p w:rsidR="00127E12" w:rsidRDefault="00127E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127E12" w:rsidRDefault="00127E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7E12" w:rsidRDefault="00127E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127E12" w:rsidRDefault="00127E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6E5B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7E12" w:rsidTr="00127E12">
        <w:trPr>
          <w:trHeight w:val="524"/>
        </w:trPr>
        <w:tc>
          <w:tcPr>
            <w:tcW w:w="284" w:type="dxa"/>
            <w:vAlign w:val="bottom"/>
            <w:hideMark/>
          </w:tcPr>
          <w:p w:rsidR="00127E12" w:rsidRDefault="00127E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7E12" w:rsidRDefault="00127E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27E12" w:rsidRDefault="00127E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7E12" w:rsidRDefault="00127E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6341" w:type="dxa"/>
            <w:vAlign w:val="bottom"/>
          </w:tcPr>
          <w:p w:rsidR="00127E12" w:rsidRDefault="00127E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7E12" w:rsidTr="00127E12">
        <w:trPr>
          <w:trHeight w:val="130"/>
        </w:trPr>
        <w:tc>
          <w:tcPr>
            <w:tcW w:w="9460" w:type="dxa"/>
            <w:gridSpan w:val="5"/>
          </w:tcPr>
          <w:p w:rsidR="00127E12" w:rsidRDefault="00127E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7E12" w:rsidTr="00127E12">
        <w:tc>
          <w:tcPr>
            <w:tcW w:w="9460" w:type="dxa"/>
            <w:gridSpan w:val="5"/>
          </w:tcPr>
          <w:p w:rsidR="00127E12" w:rsidRDefault="00127E1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7E12" w:rsidRDefault="00127E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27E12" w:rsidRDefault="00127E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7E12" w:rsidTr="00127E12">
        <w:tc>
          <w:tcPr>
            <w:tcW w:w="9460" w:type="dxa"/>
            <w:gridSpan w:val="5"/>
            <w:hideMark/>
          </w:tcPr>
          <w:p w:rsidR="00127E12" w:rsidRDefault="00127E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Устава Некоммерческой организации Хуторское казачье общество «Хутор Исеть»</w:t>
            </w:r>
          </w:p>
        </w:tc>
      </w:tr>
      <w:tr w:rsidR="00127E12" w:rsidTr="00127E12">
        <w:tc>
          <w:tcPr>
            <w:tcW w:w="9460" w:type="dxa"/>
            <w:gridSpan w:val="5"/>
          </w:tcPr>
          <w:p w:rsidR="00127E12" w:rsidRDefault="00127E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7E12" w:rsidRDefault="00127E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7E12" w:rsidRDefault="00127E12" w:rsidP="00127E1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3 статьи 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05 декабря 2005 года № 154-ФЗ «О государственной службе </w:t>
      </w:r>
      <w:r>
        <w:rPr>
          <w:rFonts w:ascii="Liberation Serif" w:hAnsi="Liberation Serif"/>
          <w:sz w:val="28"/>
          <w:szCs w:val="28"/>
        </w:rPr>
        <w:br/>
        <w:t xml:space="preserve">российского казачества», пунктом 3.2. </w:t>
      </w:r>
      <w:r>
        <w:rPr>
          <w:rFonts w:ascii="Liberation Serif" w:eastAsia="Calibri" w:hAnsi="Liberation Serif" w:cs="Liberation Serif"/>
          <w:sz w:val="28"/>
          <w:szCs w:val="28"/>
        </w:rPr>
        <w:t>Указа Президента Российской Федерации от 15 июня 1992 года № 632 «О мерах по реализации Закона Российской Федерации «О реабилитации репрессированных народов» в отношении казачества»,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приказом ФАДН России от 06.04.2020 № 45 «Об утверждении Типового положения о согласовании и утверждении уставов казачьих обществ», постановлением администрации городского округа Верхняя  Пышма от 07.06.2023 № 83 «</w:t>
      </w:r>
      <w:r>
        <w:rPr>
          <w:rFonts w:ascii="Liberation Serif" w:hAnsi="Liberation Serif"/>
          <w:sz w:val="28"/>
          <w:szCs w:val="28"/>
        </w:rPr>
        <w:t xml:space="preserve">Об утверждении порядка согласования </w:t>
      </w:r>
      <w:r>
        <w:rPr>
          <w:rFonts w:ascii="Liberation Serif" w:hAnsi="Liberation Serif"/>
          <w:sz w:val="28"/>
          <w:szCs w:val="28"/>
        </w:rPr>
        <w:br/>
        <w:t xml:space="preserve">и утверждения Уставов создаваемых (действующих) казачьих обществ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Пышма», </w:t>
      </w:r>
      <w:r>
        <w:rPr>
          <w:rFonts w:ascii="Liberation Serif" w:eastAsia="Calibri" w:hAnsi="Liberation Serif" w:cs="Liberation Serif"/>
          <w:sz w:val="28"/>
          <w:szCs w:val="28"/>
        </w:rPr>
        <w:t>руководствуясь пунктом 28 части 7 статьи 25</w:t>
      </w:r>
      <w:r>
        <w:rPr>
          <w:rFonts w:ascii="Liberation Serif" w:hAnsi="Liberation Serif"/>
          <w:sz w:val="28"/>
          <w:szCs w:val="28"/>
        </w:rPr>
        <w:t xml:space="preserve"> Устава городского округа Верхняя Пышма:</w:t>
      </w:r>
    </w:p>
    <w:p w:rsidR="00127E12" w:rsidRDefault="00127E12" w:rsidP="00127E1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Устав Некоммерческой организации Хуторское казачье общество «Хутор Исеть» (прилагается).</w:t>
      </w:r>
    </w:p>
    <w:p w:rsidR="00127E12" w:rsidRDefault="00127E12" w:rsidP="00127E1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распоряжения оставляю за собой.</w:t>
      </w:r>
    </w:p>
    <w:p w:rsidR="00127E12" w:rsidRDefault="00127E12" w:rsidP="00127E1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распоряжение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127E12" w:rsidRDefault="00127E12" w:rsidP="00127E1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27E12" w:rsidRDefault="00127E12" w:rsidP="00127E1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27E12" w:rsidTr="00127E12">
        <w:tc>
          <w:tcPr>
            <w:tcW w:w="6237" w:type="dxa"/>
            <w:vAlign w:val="bottom"/>
            <w:hideMark/>
          </w:tcPr>
          <w:p w:rsidR="00127E12" w:rsidRDefault="00127E1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7E12" w:rsidRDefault="00127E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27E12" w:rsidRDefault="00127E12" w:rsidP="00127E12">
      <w:pPr>
        <w:pStyle w:val="ConsNormal"/>
        <w:widowControl/>
        <w:ind w:firstLine="0"/>
        <w:rPr>
          <w:rFonts w:ascii="Liberation Serif" w:hAnsi="Liberation Serif"/>
        </w:rPr>
      </w:pPr>
    </w:p>
    <w:p w:rsidR="00FD5C54" w:rsidRDefault="00FD5C54"/>
    <w:sectPr w:rsidR="00FD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13"/>
    <w:rsid w:val="00127E12"/>
    <w:rsid w:val="00C46513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B15E2-E9F9-4A0C-9869-6212A7FD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27E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2023-10-24T10:46:00Z</dcterms:created>
  <dcterms:modified xsi:type="dcterms:W3CDTF">2023-10-24T10:46:00Z</dcterms:modified>
</cp:coreProperties>
</file>