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81743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753439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7"/>
                              <w:gridCol w:w="484"/>
                              <w:gridCol w:w="1154"/>
                            </w:tblGrid>
                            <w:tr w:rsidR="0028174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7534397"/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5731997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 w:rsidR="00F50ED3">
                                    <w:rPr>
                                      <w:rFonts w:ascii="Liberation Serif" w:hAnsi="Liberation Serif"/>
                                    </w:rPr>
                                    <w:t>21.12.2023</w:t>
                                  </w:r>
                                  <w:bookmarkStart w:id="0" w:name="_GoBack"/>
                                  <w:bookmarkEnd w:id="0"/>
                                  <w:permEnd w:id="125731997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30699092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 w:rsidR="00F50ED3">
                                    <w:rPr>
                                      <w:rFonts w:ascii="Liberation Serif" w:hAnsi="Liberation Serif"/>
                                    </w:rPr>
                                    <w:t>1532</w:t>
                                  </w:r>
                                  <w:permEnd w:id="306990925"/>
                                </w:p>
                              </w:tc>
                            </w:tr>
                          </w:tbl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81743" w:rsidRPr="003C063F" w:rsidRDefault="00281743" w:rsidP="0028174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753439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7"/>
                        <w:gridCol w:w="484"/>
                        <w:gridCol w:w="1154"/>
                      </w:tblGrid>
                      <w:tr w:rsidR="0028174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7534397"/>
                          <w:p w:rsidR="00281743" w:rsidRPr="003C063F" w:rsidRDefault="0028174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5731997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 w:rsidR="00F50ED3">
                              <w:rPr>
                                <w:rFonts w:ascii="Liberation Serif" w:hAnsi="Liberation Serif"/>
                              </w:rPr>
                              <w:t>21.12.2023</w:t>
                            </w:r>
                            <w:bookmarkStart w:id="1" w:name="_GoBack"/>
                            <w:bookmarkEnd w:id="1"/>
                            <w:permEnd w:id="125731997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30699092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 w:rsidR="00F50ED3">
                              <w:rPr>
                                <w:rFonts w:ascii="Liberation Serif" w:hAnsi="Liberation Serif"/>
                              </w:rPr>
                              <w:t>1532</w:t>
                            </w:r>
                            <w:permEnd w:id="306990925"/>
                          </w:p>
                        </w:tc>
                      </w:tr>
                    </w:tbl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81743" w:rsidRPr="003C063F" w:rsidRDefault="00281743" w:rsidP="0028174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779C9" w:rsidRPr="00281743" w:rsidRDefault="001779C9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831D09" w:rsidRPr="003C0CDF" w:rsidRDefault="003C0CDF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0CDF">
        <w:rPr>
          <w:rFonts w:ascii="Liberation Serif" w:hAnsi="Liberation Serif"/>
          <w:b/>
          <w:sz w:val="28"/>
          <w:szCs w:val="28"/>
        </w:rPr>
        <w:t>ПРОГРАММА</w:t>
      </w:r>
    </w:p>
    <w:p w:rsidR="00831D09" w:rsidRPr="003C0CDF" w:rsidRDefault="00831D09" w:rsidP="003C0CDF">
      <w:pPr>
        <w:autoSpaceDE w:val="0"/>
        <w:autoSpaceDN w:val="0"/>
        <w:adjustRightInd w:val="0"/>
        <w:spacing w:after="20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0CDF"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3C0CDF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жилищном контроле на территории городского округа Верхняя Пышма </w:t>
      </w:r>
      <w:r w:rsidRPr="003C0CDF">
        <w:rPr>
          <w:rFonts w:ascii="Liberation Serif" w:hAnsi="Liberation Serif"/>
          <w:b/>
          <w:sz w:val="28"/>
          <w:szCs w:val="28"/>
        </w:rPr>
        <w:t>на 202</w:t>
      </w:r>
      <w:r w:rsidR="003B1406" w:rsidRPr="003C0CDF">
        <w:rPr>
          <w:rFonts w:ascii="Liberation Serif" w:hAnsi="Liberation Serif"/>
          <w:b/>
          <w:sz w:val="28"/>
          <w:szCs w:val="28"/>
        </w:rPr>
        <w:t>4</w:t>
      </w:r>
      <w:r w:rsidRPr="003C0CDF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831D09" w:rsidRPr="003C0CDF" w:rsidRDefault="00831D09" w:rsidP="003C0CDF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3C0CDF">
        <w:rPr>
          <w:rFonts w:ascii="Liberation Serif" w:hAnsi="Liberation Serif" w:cs="Liberation Serif"/>
          <w:bCs/>
          <w:sz w:val="28"/>
          <w:szCs w:val="28"/>
        </w:rPr>
        <w:t xml:space="preserve">муниципальном жилищном контроле на территории городского округа Верхняя Пышма </w:t>
      </w:r>
      <w:r w:rsidRPr="003C0CDF">
        <w:rPr>
          <w:rFonts w:ascii="Liberation Serif" w:hAnsi="Liberation Serif"/>
          <w:sz w:val="28"/>
          <w:szCs w:val="28"/>
        </w:rPr>
        <w:t xml:space="preserve"> (далее </w:t>
      </w:r>
      <w:r w:rsidR="003C0CDF">
        <w:rPr>
          <w:rFonts w:ascii="Liberation Serif" w:hAnsi="Liberation Serif"/>
          <w:sz w:val="28"/>
          <w:szCs w:val="28"/>
        </w:rPr>
        <w:t>–</w:t>
      </w:r>
      <w:r w:rsidRPr="003C0CDF">
        <w:rPr>
          <w:rFonts w:ascii="Liberation Serif" w:hAnsi="Liberation Serif"/>
          <w:sz w:val="28"/>
          <w:szCs w:val="28"/>
        </w:rPr>
        <w:t xml:space="preserve"> 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3C0CDF">
        <w:rPr>
          <w:rFonts w:ascii="Liberation Serif" w:hAnsi="Liberation Serif" w:cs="Liberation Serif"/>
          <w:bCs/>
          <w:sz w:val="28"/>
          <w:szCs w:val="28"/>
        </w:rPr>
        <w:t xml:space="preserve">муниципальном жилищном контроле на территории городского округа Верхняя Пышма </w:t>
      </w:r>
      <w:r w:rsidRPr="003C0CDF">
        <w:rPr>
          <w:rFonts w:ascii="Liberation Serif" w:hAnsi="Liberation Serif"/>
          <w:sz w:val="28"/>
          <w:szCs w:val="28"/>
        </w:rPr>
        <w:t xml:space="preserve"> (далее – муниципальный контроль).</w:t>
      </w:r>
    </w:p>
    <w:p w:rsidR="00831D09" w:rsidRDefault="00831D09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0CDF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3C0CDF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3C0CDF">
        <w:rPr>
          <w:rFonts w:ascii="Liberation Serif" w:hAnsi="Liberation Serif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3C0CDF" w:rsidRPr="003C0CDF" w:rsidRDefault="003C0CDF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Pr="003C0CDF" w:rsidRDefault="00831D09" w:rsidP="003C0C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 xml:space="preserve">Объектами при осуществлении муниципального контроля </w:t>
      </w:r>
      <w:r w:rsidRPr="003C0CDF">
        <w:rPr>
          <w:rFonts w:ascii="Liberation Serif" w:hAnsi="Liberation Serif" w:cs="Times New Roman"/>
          <w:sz w:val="28"/>
          <w:szCs w:val="28"/>
        </w:rPr>
        <w:t>является деятельность: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1) по пользованию жилыми помещениями муниципального жилищного фонда;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2) по переводу жилого помещения в нежилое помещение и нежилого помещения в жилое в многоквартирном доме, по осуществлению перепланировки и (или) переустройства помещений в многоквартирном доме;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3) по формированию фондов капитального ремонта;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4) по управлению многоквартирными домами, включающая в себя:</w:t>
      </w:r>
    </w:p>
    <w:p w:rsidR="00831D09" w:rsidRPr="003C0CDF" w:rsidRDefault="00831D09" w:rsidP="003C0CDF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деятельность по оказанию услуг и (или) выполнению работ по содержанию и ремонту общего имущества в многоквартирных домах;</w:t>
      </w:r>
    </w:p>
    <w:p w:rsidR="00831D09" w:rsidRPr="003C0CDF" w:rsidRDefault="00831D09" w:rsidP="003C0CDF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831D09" w:rsidRPr="003C0CDF" w:rsidRDefault="00831D09" w:rsidP="003C0CDF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31D09" w:rsidRPr="003C0CDF" w:rsidRDefault="00831D09" w:rsidP="003C0CDF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lastRenderedPageBreak/>
        <w:t>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31D09" w:rsidRPr="003C0CDF" w:rsidRDefault="00831D09" w:rsidP="003C0CDF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деятельность по обеспечению доступности для инвалидов помещений в многоквартирных домах;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5) по размещению информации в системе;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6) по предоставлению жилых помещений в наемных домах социального использования.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2. Лицами, контролируемыми контрольным органом, являются граждане и организации, деятельность которых подлежит муниципальному жилищному контролю (далее – контролируемые лица), в том числе: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1) юридические лица,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 xml:space="preserve">2) юридические лица, в том числе </w:t>
      </w:r>
      <w:proofErr w:type="spellStart"/>
      <w:r w:rsidRPr="003C0CDF">
        <w:rPr>
          <w:rFonts w:ascii="Liberation Serif" w:hAnsi="Liberation Serif"/>
          <w:sz w:val="28"/>
          <w:szCs w:val="28"/>
        </w:rPr>
        <w:t>ресурсоснабжающие</w:t>
      </w:r>
      <w:proofErr w:type="spellEnd"/>
      <w:r w:rsidRPr="003C0CDF">
        <w:rPr>
          <w:rFonts w:ascii="Liberation Serif" w:hAnsi="Liberation Serif"/>
          <w:sz w:val="28"/>
          <w:szCs w:val="28"/>
        </w:rPr>
        <w:t xml:space="preserve"> организации, индивидуальные предприниматели, предоставляющие коммунальные услуги владельцам и (или) пользователям муниципальных жилых помещений в многоквартирных домах и жилых домов;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3) юридические лица, на имя которых открыты специальные счета для формирования фондов капитального ремонта многоквартирных домов;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 xml:space="preserve">4) граждане, во владении и (или) в пользовании которых находятся помещения муниципального жилищного фонда. </w:t>
      </w: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>При осуществлении муниципального контроля система оценки и управления рисками не применяется. Плановые контрольные мероприятия не проводятся.</w:t>
      </w:r>
    </w:p>
    <w:p w:rsidR="00831D09" w:rsidRPr="003C0CDF" w:rsidRDefault="00831D09" w:rsidP="003C0CDF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При осуществлении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31D09" w:rsidRPr="003C0CDF" w:rsidRDefault="00831D09" w:rsidP="003C0CD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>В связи с запретом на проведение контрольных мероприятий со взаимодействием с контролируемыми лицами, установленным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плановые и внеплановые проверки в отношении подконтрольных субъектов в 202</w:t>
      </w:r>
      <w:r w:rsidR="003D434D" w:rsidRPr="003C0CDF">
        <w:rPr>
          <w:rFonts w:ascii="Liberation Serif" w:eastAsia="Times New Roman" w:hAnsi="Liberation Serif"/>
          <w:sz w:val="28"/>
          <w:szCs w:val="28"/>
          <w:lang w:eastAsia="ru-RU"/>
        </w:rPr>
        <w:t>3</w:t>
      </w: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 xml:space="preserve"> году не проводились.</w:t>
      </w:r>
    </w:p>
    <w:p w:rsidR="00831D09" w:rsidRPr="003C0CDF" w:rsidRDefault="00831D09" w:rsidP="003C0CD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lastRenderedPageBreak/>
        <w:t>городского округа Верхняя Пышма в 202</w:t>
      </w:r>
      <w:r w:rsidR="00E86796"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3</w:t>
      </w: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году осуществлялись мероприятия по профилактике таких нарушений. </w:t>
      </w:r>
    </w:p>
    <w:p w:rsidR="00831D09" w:rsidRPr="003C0CDF" w:rsidRDefault="00831D09" w:rsidP="003C0C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(http://movp.ru) обеспечено размещение информации в отношении проведения муниципального контроля, в том числе перечень обязательных требований, Программа профилактики нарушений обязательных требований при осуществлении муниципального контроля, осуществляемого на территории городс</w:t>
      </w:r>
      <w:r w:rsidR="00E86796"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кого округа Верхняя Пышма на 20</w:t>
      </w:r>
      <w:r w:rsidR="003B1406"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23</w:t>
      </w: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год, Доклад об осуществлении Администрацией городского округа Верхняя Пышма муниципального контроля за 202</w:t>
      </w:r>
      <w:r w:rsidR="00E86796"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3</w:t>
      </w: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год.</w:t>
      </w:r>
    </w:p>
    <w:p w:rsidR="00831D09" w:rsidRPr="003C0CDF" w:rsidRDefault="00831D09" w:rsidP="003C0C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На регулярной основе осуществлялись консультации в ходе личных приемов, а также посредством телефонной связи и письменных ответов на обращения. </w:t>
      </w:r>
    </w:p>
    <w:p w:rsidR="00831D09" w:rsidRPr="003C0CDF" w:rsidRDefault="00831D09" w:rsidP="003C0C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31D09" w:rsidRPr="003C0CDF" w:rsidRDefault="00831D09" w:rsidP="003C0C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Проведённая работа</w:t>
      </w:r>
      <w:r w:rsidRPr="003C0CDF">
        <w:rPr>
          <w:rFonts w:ascii="Liberation Serif" w:hAnsi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1D09" w:rsidRPr="003C0CDF" w:rsidRDefault="00831D09" w:rsidP="003C0C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Для устранения указанных рисков деятельность администрации городского округа Верхняя Пышма</w:t>
      </w:r>
      <w:r w:rsidRPr="003C0CDF">
        <w:rPr>
          <w:rFonts w:ascii="Liberation Serif" w:eastAsia="Times New Roman" w:hAnsi="Liberation Serif"/>
          <w:i/>
          <w:spacing w:val="1"/>
          <w:sz w:val="28"/>
          <w:szCs w:val="28"/>
          <w:lang w:eastAsia="ru-RU"/>
        </w:rPr>
        <w:t xml:space="preserve"> </w:t>
      </w: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в 202</w:t>
      </w:r>
      <w:r w:rsidR="003B1406"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4</w:t>
      </w: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 xml:space="preserve"> году будет продолжена и сосредоточена на следующих направлениях:</w:t>
      </w:r>
    </w:p>
    <w:p w:rsidR="00831D09" w:rsidRPr="003C0CDF" w:rsidRDefault="00831D09" w:rsidP="003C0CD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информировании;</w:t>
      </w:r>
    </w:p>
    <w:p w:rsidR="00831D09" w:rsidRPr="003C0CDF" w:rsidRDefault="00831D09" w:rsidP="003C0CD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pacing w:val="1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объявлении предостережения;</w:t>
      </w:r>
    </w:p>
    <w:p w:rsidR="00831D09" w:rsidRPr="003C0CDF" w:rsidRDefault="00831D09" w:rsidP="003C0CD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консультировании.</w:t>
      </w:r>
    </w:p>
    <w:p w:rsidR="00831D09" w:rsidRPr="003C0CDF" w:rsidRDefault="00831D09" w:rsidP="003C0CD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Pr="003C0CDF" w:rsidRDefault="00831D09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0CDF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3C0CDF">
        <w:rPr>
          <w:rFonts w:ascii="Liberation Serif" w:hAnsi="Liberation Serif"/>
          <w:b/>
          <w:sz w:val="28"/>
          <w:szCs w:val="28"/>
          <w:lang w:val="en-US"/>
        </w:rPr>
        <w:t>II</w:t>
      </w:r>
      <w:r w:rsidRPr="003C0CDF">
        <w:rPr>
          <w:rFonts w:ascii="Liberation Serif" w:hAnsi="Liberation Serif"/>
          <w:b/>
          <w:sz w:val="28"/>
          <w:szCs w:val="28"/>
        </w:rPr>
        <w:t>.</w:t>
      </w:r>
      <w:r w:rsidRPr="003C0CDF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3C0CDF">
        <w:rPr>
          <w:rFonts w:ascii="Liberation Serif" w:hAnsi="Liberation Serif"/>
          <w:b/>
          <w:sz w:val="28"/>
          <w:szCs w:val="28"/>
        </w:rPr>
        <w:t>Цели и задачи реализации Программы</w:t>
      </w:r>
    </w:p>
    <w:p w:rsidR="00831D09" w:rsidRPr="003C0CDF" w:rsidRDefault="00831D09" w:rsidP="003C0CD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Целями реализации Программы являются: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стимулирование добросовестного соблюдения обязательных требований контролируемыми</w:t>
      </w:r>
      <w:r w:rsidRPr="003C0CDF">
        <w:rPr>
          <w:rFonts w:ascii="Liberation Serif" w:hAnsi="Liberation Serif" w:cs="Liberation Serif"/>
          <w:sz w:val="28"/>
          <w:szCs w:val="28"/>
        </w:rPr>
        <w:t xml:space="preserve"> </w:t>
      </w:r>
      <w:r w:rsidRPr="003C0CDF">
        <w:rPr>
          <w:rFonts w:ascii="Liberation Serif" w:hAnsi="Liberation Serif" w:cs="Times New Roman"/>
          <w:sz w:val="28"/>
          <w:szCs w:val="28"/>
        </w:rPr>
        <w:t>лицами;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C0CDF">
        <w:rPr>
          <w:rFonts w:ascii="Liberation Serif" w:hAnsi="Liberation Serif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31D09" w:rsidRPr="003C0CDF" w:rsidRDefault="00831D09" w:rsidP="003C0CD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3C0CDF">
        <w:rPr>
          <w:rFonts w:ascii="Liberation Serif" w:hAnsi="Liberation Serif"/>
          <w:sz w:val="28"/>
          <w:szCs w:val="28"/>
        </w:rPr>
        <w:t>Задачами реализации Программы являются: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3C0CDF">
        <w:rPr>
          <w:rFonts w:ascii="Liberation Serif" w:hAnsi="Liberation Serif"/>
          <w:sz w:val="28"/>
          <w:szCs w:val="28"/>
          <w:lang w:eastAsia="ru-RU"/>
        </w:rPr>
        <w:lastRenderedPageBreak/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3C0CDF">
        <w:rPr>
          <w:rFonts w:ascii="Liberation Serif" w:hAnsi="Liberation Serif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3C0CDF">
        <w:rPr>
          <w:rFonts w:ascii="Liberation Serif" w:hAnsi="Liberation Serif"/>
          <w:sz w:val="28"/>
          <w:szCs w:val="28"/>
          <w:lang w:eastAsia="ru-RU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3C0CDF">
        <w:rPr>
          <w:rFonts w:ascii="Liberation Serif" w:hAnsi="Liberation Serif"/>
          <w:sz w:val="28"/>
          <w:szCs w:val="28"/>
          <w:lang w:eastAsia="ru-RU"/>
        </w:rPr>
        <w:t>повышение прозрачности осуществляемой Управлением контрольной деятельности;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3C0CDF">
        <w:rPr>
          <w:rFonts w:ascii="Liberation Serif" w:hAnsi="Liberation Serif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3B1406" w:rsidRPr="003C0CDF" w:rsidRDefault="003B1406" w:rsidP="003C0CDF">
      <w:pPr>
        <w:spacing w:after="0" w:line="240" w:lineRule="auto"/>
        <w:ind w:firstLine="426"/>
        <w:jc w:val="both"/>
        <w:rPr>
          <w:rFonts w:ascii="Liberation Serif" w:eastAsia="Times New Roman" w:hAnsi="Liberation Serif"/>
          <w:b/>
          <w:bCs/>
          <w:sz w:val="28"/>
          <w:szCs w:val="28"/>
          <w:highlight w:val="green"/>
          <w:lang w:eastAsia="ru-RU"/>
        </w:rPr>
      </w:pPr>
    </w:p>
    <w:p w:rsidR="00831D09" w:rsidRPr="003C0CDF" w:rsidRDefault="00831D09" w:rsidP="003C0CDF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Раздел III. Перечень профилактических мероприятий, сроки</w:t>
      </w:r>
    </w:p>
    <w:p w:rsidR="00831D09" w:rsidRDefault="00831D09" w:rsidP="003C0CDF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(периодичность) их проведения</w:t>
      </w:r>
    </w:p>
    <w:p w:rsidR="003C0CDF" w:rsidRPr="003C0CDF" w:rsidRDefault="003C0CDF" w:rsidP="003C0CDF">
      <w:pPr>
        <w:spacing w:after="0" w:line="240" w:lineRule="auto"/>
        <w:ind w:firstLine="567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831D09" w:rsidRPr="003C0CDF" w:rsidRDefault="00831D09" w:rsidP="003C0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соответствии с Положением о </w:t>
      </w:r>
      <w:r w:rsidRPr="003C0CDF">
        <w:rPr>
          <w:rFonts w:ascii="Liberation Serif" w:hAnsi="Liberation Serif" w:cs="Liberation Serif"/>
          <w:bCs/>
          <w:sz w:val="28"/>
          <w:szCs w:val="28"/>
        </w:rPr>
        <w:t>муниципальном жилищном контроле на территории городского округа Верхняя Пышма</w:t>
      </w: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 xml:space="preserve">, проводятся следующие профилактические мероприятия: </w:t>
      </w:r>
    </w:p>
    <w:p w:rsidR="00831D09" w:rsidRPr="003C0CDF" w:rsidRDefault="00831D09" w:rsidP="003C0CD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>информирование;</w:t>
      </w:r>
    </w:p>
    <w:p w:rsidR="00E86796" w:rsidRPr="003C0CDF" w:rsidRDefault="00BB22AC" w:rsidP="003C0CD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</w:t>
      </w:r>
      <w:r w:rsidR="00E86796" w:rsidRPr="003C0CDF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831D09" w:rsidRPr="003C0CDF" w:rsidRDefault="00831D09" w:rsidP="003C0CD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sz w:val="28"/>
          <w:szCs w:val="28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831D09" w:rsidRPr="003C0CDF" w:rsidRDefault="00831D09" w:rsidP="003C0CDF">
      <w:pPr>
        <w:spacing w:after="0" w:line="240" w:lineRule="auto"/>
        <w:ind w:firstLine="709"/>
        <w:jc w:val="both"/>
        <w:rPr>
          <w:rFonts w:ascii="Liberation Serif" w:eastAsia="Times New Roman" w:hAnsi="Liberation Serif"/>
          <w:i/>
          <w:sz w:val="28"/>
          <w:szCs w:val="28"/>
          <w:lang w:eastAsia="ru-RU"/>
        </w:rPr>
      </w:pPr>
    </w:p>
    <w:p w:rsidR="00831D09" w:rsidRPr="003C0CDF" w:rsidRDefault="00831D09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0CDF">
        <w:rPr>
          <w:rFonts w:ascii="Liberation Serif" w:hAnsi="Liberation Serif"/>
          <w:b/>
          <w:sz w:val="28"/>
          <w:szCs w:val="28"/>
        </w:rPr>
        <w:t>Раздел IV. Показатели результативности и эффективности Программы</w:t>
      </w:r>
    </w:p>
    <w:p w:rsidR="00831D09" w:rsidRDefault="00831D09" w:rsidP="003C0CDF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iCs/>
          <w:sz w:val="28"/>
          <w:szCs w:val="28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3C0CDF" w:rsidRPr="003C0CDF" w:rsidRDefault="003C0CDF" w:rsidP="003C0CDF">
      <w:pPr>
        <w:spacing w:after="0" w:line="240" w:lineRule="auto"/>
        <w:ind w:left="708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2"/>
        <w:gridCol w:w="2546"/>
      </w:tblGrid>
      <w:tr w:rsidR="00831D09" w:rsidRPr="003C0CDF" w:rsidTr="003C0CDF">
        <w:trPr>
          <w:trHeight w:hRule="exact" w:val="296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Ключевые показатели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Целевые значения (%)</w:t>
            </w:r>
          </w:p>
        </w:tc>
      </w:tr>
      <w:tr w:rsidR="00831D09" w:rsidRPr="003C0CDF" w:rsidTr="003C0CDF">
        <w:trPr>
          <w:trHeight w:hRule="exact" w:val="1044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  <w:p w:rsidR="00831D09" w:rsidRPr="003C0CDF" w:rsidRDefault="00831D09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50-60</w:t>
            </w:r>
          </w:p>
        </w:tc>
      </w:tr>
      <w:tr w:rsidR="00831D09" w:rsidRPr="003C0CDF" w:rsidTr="003C0CDF">
        <w:trPr>
          <w:trHeight w:hRule="exact" w:val="1413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831D09" w:rsidRPr="003C0CDF" w:rsidTr="003C0CDF">
        <w:trPr>
          <w:trHeight w:hRule="exact" w:val="1136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lastRenderedPageBreak/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D09" w:rsidRPr="003C0CDF" w:rsidRDefault="00831D09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831D09" w:rsidRPr="003C0CDF" w:rsidRDefault="00831D09" w:rsidP="003C0CDF">
      <w:pPr>
        <w:numPr>
          <w:ilvl w:val="0"/>
          <w:numId w:val="5"/>
        </w:numPr>
        <w:spacing w:after="0" w:line="240" w:lineRule="auto"/>
        <w:ind w:left="0" w:firstLine="850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городского округа Верхняя Пышма в состав доклада о виде муниципального контроля в соответствии со статьей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31D09" w:rsidRPr="003C0CDF" w:rsidRDefault="00831D09" w:rsidP="003C0C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81743" w:rsidRPr="003C0CDF" w:rsidRDefault="00281743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  <w:sectPr w:rsidR="00281743" w:rsidRPr="003C0CDF" w:rsidSect="003C0CDF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1D09" w:rsidRPr="003C0CDF" w:rsidRDefault="00831D09" w:rsidP="003C0CDF">
      <w:pPr>
        <w:spacing w:after="0" w:line="240" w:lineRule="auto"/>
        <w:jc w:val="right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831D09" w:rsidRPr="003C0CDF" w:rsidRDefault="00831D09" w:rsidP="003C0CDF">
      <w:pPr>
        <w:spacing w:after="0" w:line="240" w:lineRule="auto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831D09" w:rsidRPr="003C0CDF" w:rsidRDefault="00831D09" w:rsidP="003C0CDF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831D09" w:rsidRPr="003C0CDF" w:rsidRDefault="00831D09" w:rsidP="003C0CDF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3C0CDF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81743" w:rsidRPr="003C0CDF" w:rsidRDefault="00281743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478"/>
        <w:gridCol w:w="5248"/>
        <w:gridCol w:w="2478"/>
        <w:gridCol w:w="1967"/>
        <w:gridCol w:w="1887"/>
      </w:tblGrid>
      <w:tr w:rsidR="00281743" w:rsidRPr="003C0CDF" w:rsidTr="003C0CD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Программа профилактики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Программное мероприятие в рамках вида профилактического мероприятия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Ответственное подразделение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Привлекаемые лица</w:t>
            </w:r>
          </w:p>
        </w:tc>
      </w:tr>
      <w:tr w:rsidR="00281743" w:rsidRPr="003C0CDF" w:rsidTr="003C0CDF"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ind w:left="-2618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Обязательные</w:t>
            </w:r>
          </w:p>
        </w:tc>
      </w:tr>
      <w:tr w:rsidR="004404DF" w:rsidRPr="003C0CDF" w:rsidTr="003C0CDF">
        <w:trPr>
          <w:trHeight w:val="636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Информирование в средствах массовой информации:</w:t>
            </w:r>
          </w:p>
        </w:tc>
      </w:tr>
      <w:tr w:rsidR="00EC2882" w:rsidRPr="003C0CDF" w:rsidTr="003C0CDF">
        <w:trPr>
          <w:trHeight w:val="90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Печатные издания</w:t>
            </w:r>
          </w:p>
        </w:tc>
        <w:tc>
          <w:tcPr>
            <w:tcW w:w="19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Размещение и поддерживание в актуальном состоянии на своем официальном сайте в информационно-телекоммуникационной сети "Интернет":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2) сведения об изменениях, внесенных в нормативные правовые акты, </w:t>
            </w: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регулирующие осуществление муниципального жилищного контроля, о сроках и порядке их вступления в силу;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Ожидаемые результаты проведения мероприятий - Повышение информированности контролируемых лиц о действующих обязательных требованиях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5) программа профилактики;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9) доклады о муниципальном жилищном контроле (информация об осуществлении МЖК);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10) иные сведения, предусмотренные нормативными правовыми актами Российской Федерации, нормативными правовыми актам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Отдел по учету и распределению жилья 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МКУ «Комитет ЖКХ»,</w:t>
            </w:r>
          </w:p>
          <w:p w:rsidR="00EC2882" w:rsidRPr="003C0CDF" w:rsidRDefault="00EC2882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Пресс-секретарь главы городского округа </w:t>
            </w: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Верхняя Пышма</w:t>
            </w:r>
          </w:p>
        </w:tc>
      </w:tr>
      <w:tr w:rsidR="004404DF" w:rsidRPr="003C0CDF" w:rsidTr="003C0CDF">
        <w:trPr>
          <w:trHeight w:val="87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Социальные сети</w:t>
            </w:r>
          </w:p>
        </w:tc>
        <w:tc>
          <w:tcPr>
            <w:tcW w:w="19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404DF" w:rsidRPr="003C0CDF" w:rsidTr="003C0CDF">
        <w:trPr>
          <w:trHeight w:val="80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Интернет-издания</w:t>
            </w:r>
          </w:p>
        </w:tc>
        <w:tc>
          <w:tcPr>
            <w:tcW w:w="19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404DF" w:rsidRPr="003C0CDF" w:rsidTr="003C0CDF">
        <w:trPr>
          <w:trHeight w:val="269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Проведение публичных мероприятий (встречи с консультируемыми лицами органами местного самоуправления</w:t>
            </w:r>
          </w:p>
        </w:tc>
        <w:tc>
          <w:tcPr>
            <w:tcW w:w="19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404DF" w:rsidRPr="003C0CDF" w:rsidTr="003C0CDF">
        <w:trPr>
          <w:trHeight w:val="1226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Информационные стенды, в том числе общедоступные</w:t>
            </w:r>
          </w:p>
        </w:tc>
        <w:tc>
          <w:tcPr>
            <w:tcW w:w="19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281743" w:rsidRPr="003C0CDF" w:rsidTr="003C0CDF"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1. Консультирование может осуществляться </w:t>
            </w:r>
            <w:r w:rsidR="001779C9"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должностным лицом</w:t>
            </w: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2. Консультирование осуществляется без взимания платы.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3. По итогам консультирования информация в письменной форме контролируемым лицам и их представителям не предоставляется.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2 мая 2006 года N 59-ФЗ "О порядке рассмотрения обращений граждан Российской Федерации".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5. При осуществлении консультирования должностное лицо органа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По мере поступления обращений контролируемых лиц и их представителей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Отдел по учету и распределению жилья,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МКУ «Комитет ЖКХ»,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Комитет по управлению имуществом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281743" w:rsidRPr="003C0CDF" w:rsidTr="003C0CDF"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7.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8. Контрольный орган осуществляет учет консультирований.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9.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разъяснения, подписанного руководителем контрольного органа.</w:t>
            </w:r>
          </w:p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Ожидаемые результаты проведения мероприятий - Повышение информированности контролируемых лиц о действующих обязательных требованиях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</w:tcPr>
          <w:p w:rsidR="00281743" w:rsidRPr="003C0CDF" w:rsidRDefault="00281743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404DF" w:rsidRPr="003C0CDF" w:rsidTr="003C0CDF"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4DF" w:rsidRPr="003C0CDF" w:rsidRDefault="004404DF" w:rsidP="003C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Необязательные</w:t>
            </w:r>
          </w:p>
        </w:tc>
      </w:tr>
      <w:tr w:rsidR="00900A34" w:rsidRPr="003C0CDF" w:rsidTr="003C0CDF"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34" w:rsidRPr="003C0CDF" w:rsidRDefault="00900A34" w:rsidP="003C0CDF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3C0CDF">
              <w:rPr>
                <w:rFonts w:ascii="Liberation Serif" w:eastAsiaTheme="minorHAnsi" w:hAnsi="Liberation Serif" w:cs="Liberation Serif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A34" w:rsidRPr="003C0CDF" w:rsidRDefault="00900A34" w:rsidP="003C0CDF">
            <w:pPr>
              <w:pStyle w:val="ConsPlusNormal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3C0CDF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</w:t>
            </w:r>
            <w:r w:rsidRPr="003C0CDF">
              <w:rPr>
                <w:rFonts w:ascii="Liberation Serif" w:eastAsiaTheme="minorHAnsi" w:hAnsi="Liberation Serif" w:cs="Liberation Serif"/>
                <w:sz w:val="28"/>
                <w:szCs w:val="28"/>
              </w:rPr>
              <w:lastRenderedPageBreak/>
      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 xml:space="preserve">По мере поступления сведений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Отдел по учету и распределению жилья,</w:t>
            </w:r>
          </w:p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</w:tcPr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МКУ «Комитет ЖКХ»,</w:t>
            </w:r>
          </w:p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Комитет по управлению имуществом</w:t>
            </w:r>
          </w:p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900A34" w:rsidRPr="003C0CDF" w:rsidRDefault="00900A34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80531" w:rsidRPr="003C0CDF" w:rsidTr="003C0CDF"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531" w:rsidRPr="003C0CDF" w:rsidRDefault="00480531" w:rsidP="003C0CDF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3C0CDF">
              <w:rPr>
                <w:rFonts w:ascii="Liberation Serif" w:eastAsiaTheme="minorHAnsi" w:hAnsi="Liberation Serif" w:cs="Liberation Serif"/>
                <w:sz w:val="28"/>
                <w:szCs w:val="28"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9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531" w:rsidRPr="003C0CDF" w:rsidRDefault="00480531" w:rsidP="003C0CDF">
            <w:pPr>
              <w:pStyle w:val="ConsPlusNormal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3C0CDF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1 раз в год в отношении контролируемого лица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 мере поступления просьбы контролируемого лица о проведении профилактической беседы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Отдел по учету и распределению жилья,</w:t>
            </w:r>
          </w:p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80" w:type="pct"/>
            <w:tcBorders>
              <w:left w:val="single" w:sz="4" w:space="0" w:color="auto"/>
              <w:right w:val="single" w:sz="4" w:space="0" w:color="auto"/>
            </w:tcBorders>
          </w:tcPr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МКУ «Комитет ЖКХ»,</w:t>
            </w:r>
          </w:p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3C0CD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Комитет по управлению имуществом</w:t>
            </w:r>
          </w:p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480531" w:rsidRPr="003C0CDF" w:rsidRDefault="00480531" w:rsidP="003C0C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056A3" w:rsidRPr="003C0CDF" w:rsidRDefault="00A056A3" w:rsidP="003C0C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A056A3" w:rsidRPr="003C0CDF" w:rsidSect="002817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056A3" w:rsidRPr="003C0CDF" w:rsidRDefault="00A056A3" w:rsidP="003C0C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CDF">
        <w:rPr>
          <w:rFonts w:ascii="Liberation Serif" w:hAnsi="Liberation Serif" w:cs="Liberation Serif"/>
          <w:sz w:val="28"/>
          <w:szCs w:val="28"/>
        </w:rPr>
        <w:lastRenderedPageBreak/>
        <w:t>Контрольный орган может так же проводить профилактические мероприятия, не предусмотренные программой профилактики, такие как:</w:t>
      </w:r>
    </w:p>
    <w:p w:rsidR="00A056A3" w:rsidRPr="003C0CDF" w:rsidRDefault="00A056A3" w:rsidP="003C0C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CDF">
        <w:rPr>
          <w:rFonts w:ascii="Liberation Serif" w:hAnsi="Liberation Serif" w:cs="Liberation Serif"/>
          <w:sz w:val="28"/>
          <w:szCs w:val="28"/>
        </w:rPr>
        <w:t>1) объявление предостережения;</w:t>
      </w:r>
    </w:p>
    <w:p w:rsidR="00A056A3" w:rsidRPr="003C0CDF" w:rsidRDefault="00A056A3" w:rsidP="003C0C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CDF">
        <w:rPr>
          <w:rFonts w:ascii="Liberation Serif" w:hAnsi="Liberation Serif" w:cs="Liberation Serif"/>
          <w:sz w:val="28"/>
          <w:szCs w:val="28"/>
        </w:rPr>
        <w:t>2) профилактический визит.</w:t>
      </w:r>
    </w:p>
    <w:p w:rsidR="00A056A3" w:rsidRPr="003C0CDF" w:rsidRDefault="00A056A3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81743" w:rsidRPr="003C0CDF" w:rsidRDefault="00281743" w:rsidP="003C0CD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0CDF">
        <w:rPr>
          <w:rFonts w:ascii="Liberation Serif" w:hAnsi="Liberation Serif"/>
          <w:b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</w:t>
      </w:r>
      <w:bookmarkStart w:id="2" w:name="bookmark7"/>
      <w:r w:rsidRPr="003C0CDF">
        <w:rPr>
          <w:rFonts w:ascii="Liberation Serif" w:hAnsi="Liberation Serif"/>
          <w:b/>
          <w:sz w:val="28"/>
          <w:szCs w:val="28"/>
        </w:rPr>
        <w:t xml:space="preserve"> городского округа </w:t>
      </w:r>
      <w:bookmarkEnd w:id="2"/>
      <w:r w:rsidRPr="003C0CDF">
        <w:rPr>
          <w:rFonts w:ascii="Liberation Serif" w:hAnsi="Liberation Serif"/>
          <w:b/>
          <w:sz w:val="28"/>
          <w:szCs w:val="28"/>
        </w:rPr>
        <w:t>Верхняя Пышма</w:t>
      </w:r>
    </w:p>
    <w:p w:rsidR="00281743" w:rsidRPr="003C0CDF" w:rsidRDefault="00281743" w:rsidP="003C0CD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81743" w:rsidRDefault="000B1A7C" w:rsidP="003C0CD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4.</w:t>
      </w:r>
      <w:r w:rsidR="00281743" w:rsidRPr="003C0CDF">
        <w:rPr>
          <w:rFonts w:ascii="Liberation Serif" w:hAnsi="Liberation Serif"/>
          <w:sz w:val="28"/>
          <w:szCs w:val="28"/>
        </w:rPr>
        <w:t>1. Ключевые показатели в сфере муниципального жилищного контроля в городском округе Верхняя Пышма и их целевые значения:</w:t>
      </w:r>
    </w:p>
    <w:p w:rsidR="003C0CDF" w:rsidRPr="003C0CDF" w:rsidRDefault="003C0CDF" w:rsidP="003C0CD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3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4"/>
        <w:gridCol w:w="2474"/>
      </w:tblGrid>
      <w:tr w:rsidR="00281743" w:rsidRPr="003C0CDF" w:rsidTr="0083346A">
        <w:trPr>
          <w:trHeight w:hRule="exact" w:val="29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Ключевые показатели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Целевые значения (%)</w:t>
            </w:r>
          </w:p>
        </w:tc>
      </w:tr>
      <w:tr w:rsidR="00281743" w:rsidRPr="003C0CDF" w:rsidTr="0083346A">
        <w:trPr>
          <w:trHeight w:hRule="exact" w:val="1044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  <w:p w:rsidR="00281743" w:rsidRPr="003C0CDF" w:rsidRDefault="00281743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50-60</w:t>
            </w:r>
          </w:p>
        </w:tc>
      </w:tr>
      <w:tr w:rsidR="00281743" w:rsidRPr="003C0CDF" w:rsidTr="0083346A">
        <w:trPr>
          <w:trHeight w:hRule="exact" w:val="1413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281743" w:rsidRPr="003C0CDF" w:rsidTr="0083346A">
        <w:trPr>
          <w:trHeight w:hRule="exact" w:val="113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43" w:rsidRPr="003C0CDF" w:rsidRDefault="00281743" w:rsidP="003C0CDF">
            <w:pPr>
              <w:spacing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CDF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</w:tbl>
    <w:p w:rsidR="003C0CDF" w:rsidRDefault="003C0CDF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81743" w:rsidRPr="003C0CDF" w:rsidRDefault="000B1A7C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4.</w:t>
      </w:r>
      <w:r w:rsidR="00281743" w:rsidRPr="003C0CDF">
        <w:rPr>
          <w:rFonts w:ascii="Liberation Serif" w:hAnsi="Liberation Serif"/>
          <w:sz w:val="28"/>
          <w:szCs w:val="28"/>
        </w:rPr>
        <w:t>2. Индикативные показатели в сфере муниципального жилищного контроля в городском округе Верхняя Пышма</w:t>
      </w:r>
    </w:p>
    <w:p w:rsidR="00281743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281743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проведенных органом муниципального контроля внеплановых контрольных мероприятий;</w:t>
      </w:r>
    </w:p>
    <w:p w:rsidR="00281743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281743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выявленных органом муниципального контроля нарушений обязательных требований;</w:t>
      </w:r>
    </w:p>
    <w:p w:rsidR="00281743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устраненных нарушений обязательных требований;</w:t>
      </w:r>
    </w:p>
    <w:p w:rsidR="00281743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0A0AFF" w:rsidRPr="003C0CDF" w:rsidRDefault="00281743" w:rsidP="003C0C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CDF">
        <w:rPr>
          <w:rFonts w:ascii="Liberation Serif" w:hAnsi="Liberation Serif"/>
          <w:sz w:val="28"/>
          <w:szCs w:val="28"/>
        </w:rPr>
        <w:t>количество выданных органом муниципального контроля предписаний об устранении нарушений обязательных требований.</w:t>
      </w:r>
    </w:p>
    <w:p w:rsidR="001873FD" w:rsidRPr="003C0CDF" w:rsidRDefault="001873FD" w:rsidP="003C0CDF">
      <w:pPr>
        <w:spacing w:line="240" w:lineRule="auto"/>
        <w:rPr>
          <w:rFonts w:ascii="Liberation Serif" w:hAnsi="Liberation Serif"/>
          <w:sz w:val="28"/>
          <w:szCs w:val="28"/>
        </w:rPr>
      </w:pPr>
    </w:p>
    <w:sectPr w:rsidR="001873FD" w:rsidRPr="003C0CDF" w:rsidSect="00A056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8A" w:rsidRDefault="00E64B8A">
      <w:pPr>
        <w:spacing w:after="0" w:line="240" w:lineRule="auto"/>
      </w:pPr>
      <w:r>
        <w:separator/>
      </w:r>
    </w:p>
  </w:endnote>
  <w:endnote w:type="continuationSeparator" w:id="0">
    <w:p w:rsidR="00E64B8A" w:rsidRDefault="00E6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8A" w:rsidRDefault="00E64B8A">
      <w:pPr>
        <w:spacing w:after="0" w:line="240" w:lineRule="auto"/>
      </w:pPr>
      <w:r>
        <w:separator/>
      </w:r>
    </w:p>
  </w:footnote>
  <w:footnote w:type="continuationSeparator" w:id="0">
    <w:p w:rsidR="00E64B8A" w:rsidRDefault="00E6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E64B8A">
    <w:pPr>
      <w:pStyle w:val="a3"/>
      <w:jc w:val="center"/>
    </w:pPr>
  </w:p>
  <w:p w:rsidR="00D77804" w:rsidRDefault="00E64B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6D71D4"/>
    <w:multiLevelType w:val="hybridMultilevel"/>
    <w:tmpl w:val="B3208584"/>
    <w:lvl w:ilvl="0" w:tplc="C8F885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D23BF"/>
    <w:multiLevelType w:val="multilevel"/>
    <w:tmpl w:val="308821C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43"/>
    <w:rsid w:val="000666E7"/>
    <w:rsid w:val="000A0AFF"/>
    <w:rsid w:val="000B1A7C"/>
    <w:rsid w:val="00167284"/>
    <w:rsid w:val="001779C9"/>
    <w:rsid w:val="001873FD"/>
    <w:rsid w:val="00281743"/>
    <w:rsid w:val="002C0CCC"/>
    <w:rsid w:val="003B1406"/>
    <w:rsid w:val="003C0CDF"/>
    <w:rsid w:val="003D434D"/>
    <w:rsid w:val="004404DF"/>
    <w:rsid w:val="00452A67"/>
    <w:rsid w:val="00480531"/>
    <w:rsid w:val="00831D09"/>
    <w:rsid w:val="00900A34"/>
    <w:rsid w:val="00A056A3"/>
    <w:rsid w:val="00BB22AC"/>
    <w:rsid w:val="00BF7AB8"/>
    <w:rsid w:val="00CB5AC0"/>
    <w:rsid w:val="00E64B8A"/>
    <w:rsid w:val="00E86796"/>
    <w:rsid w:val="00EC2882"/>
    <w:rsid w:val="00F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F98B8-8E64-4963-9E67-EF6360DF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74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28174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56A3"/>
    <w:pPr>
      <w:ind w:left="720"/>
      <w:contextualSpacing/>
    </w:pPr>
  </w:style>
  <w:style w:type="paragraph" w:customStyle="1" w:styleId="ConsPlusTitle">
    <w:name w:val="ConsPlusTitle"/>
    <w:rsid w:val="000A0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0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rsid w:val="00831D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Амирханян Наира Кареновна</dc:creator>
  <cp:keywords/>
  <dc:description/>
  <cp:lastModifiedBy>Садыкова Дарья Юрьевна</cp:lastModifiedBy>
  <cp:revision>5</cp:revision>
  <cp:lastPrinted>2023-12-20T05:32:00Z</cp:lastPrinted>
  <dcterms:created xsi:type="dcterms:W3CDTF">2023-12-15T09:19:00Z</dcterms:created>
  <dcterms:modified xsi:type="dcterms:W3CDTF">2023-12-21T09:13:00Z</dcterms:modified>
</cp:coreProperties>
</file>