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544C5" w:rsidRPr="004E410B" w:rsidTr="00893FA8">
        <w:trPr>
          <w:trHeight w:val="524"/>
        </w:trPr>
        <w:tc>
          <w:tcPr>
            <w:tcW w:w="9460" w:type="dxa"/>
            <w:gridSpan w:val="5"/>
          </w:tcPr>
          <w:p w:rsidR="00C544C5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544C5" w:rsidRPr="006B6949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544C5" w:rsidRDefault="00C544C5" w:rsidP="00893FA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C544C5" w:rsidRPr="000B3D44" w:rsidRDefault="00C544C5" w:rsidP="00893FA8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44C5" w:rsidRPr="004E410B" w:rsidTr="00893FA8">
        <w:trPr>
          <w:trHeight w:val="524"/>
        </w:trPr>
        <w:tc>
          <w:tcPr>
            <w:tcW w:w="284" w:type="dxa"/>
            <w:vAlign w:val="bottom"/>
          </w:tcPr>
          <w:p w:rsidR="00C544C5" w:rsidRPr="000B3D44" w:rsidRDefault="00C544C5" w:rsidP="00893FA8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44C5" w:rsidRPr="000B3D44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проект</w:t>
            </w:r>
          </w:p>
        </w:tc>
        <w:tc>
          <w:tcPr>
            <w:tcW w:w="425" w:type="dxa"/>
            <w:vAlign w:val="bottom"/>
          </w:tcPr>
          <w:p w:rsidR="00C544C5" w:rsidRPr="000B3D44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44C5" w:rsidRPr="000B3D44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C544C5" w:rsidRPr="000B3D44" w:rsidRDefault="00C544C5" w:rsidP="00893FA8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544C5" w:rsidRPr="004E410B" w:rsidTr="00893FA8">
        <w:trPr>
          <w:trHeight w:val="130"/>
        </w:trPr>
        <w:tc>
          <w:tcPr>
            <w:tcW w:w="9460" w:type="dxa"/>
            <w:gridSpan w:val="5"/>
          </w:tcPr>
          <w:p w:rsidR="00C544C5" w:rsidRPr="000B3D44" w:rsidRDefault="00C544C5" w:rsidP="00893FA8">
            <w:pPr>
              <w:rPr>
                <w:sz w:val="20"/>
                <w:szCs w:val="28"/>
              </w:rPr>
            </w:pPr>
          </w:p>
        </w:tc>
      </w:tr>
      <w:tr w:rsidR="00C544C5" w:rsidRPr="004E410B" w:rsidTr="00893FA8">
        <w:tc>
          <w:tcPr>
            <w:tcW w:w="9460" w:type="dxa"/>
            <w:gridSpan w:val="5"/>
          </w:tcPr>
          <w:p w:rsidR="00C544C5" w:rsidRDefault="00C544C5" w:rsidP="00893FA8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544C5" w:rsidRDefault="00C544C5" w:rsidP="00893FA8">
            <w:pPr>
              <w:rPr>
                <w:sz w:val="28"/>
                <w:szCs w:val="28"/>
                <w:lang w:val="en-US"/>
              </w:rPr>
            </w:pPr>
          </w:p>
          <w:p w:rsidR="00C544C5" w:rsidRPr="00B50EAF" w:rsidRDefault="00C544C5" w:rsidP="00893FA8">
            <w:pPr>
              <w:rPr>
                <w:sz w:val="28"/>
                <w:szCs w:val="28"/>
                <w:lang w:val="en-US"/>
              </w:rPr>
            </w:pPr>
          </w:p>
        </w:tc>
      </w:tr>
      <w:tr w:rsidR="00C544C5" w:rsidRPr="004E410B" w:rsidTr="00893FA8">
        <w:tc>
          <w:tcPr>
            <w:tcW w:w="9460" w:type="dxa"/>
            <w:gridSpan w:val="5"/>
          </w:tcPr>
          <w:p w:rsidR="00C544C5" w:rsidRPr="00C544C5" w:rsidRDefault="00C544C5" w:rsidP="00893FA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C544C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и критериев оценки эффективности использования муниципального имущества городского округа </w:t>
            </w:r>
          </w:p>
          <w:p w:rsidR="00C544C5" w:rsidRPr="009A7DD3" w:rsidRDefault="00C544C5" w:rsidP="00893FA8">
            <w:pPr>
              <w:jc w:val="center"/>
              <w:rPr>
                <w:b/>
                <w:i/>
                <w:sz w:val="28"/>
                <w:szCs w:val="28"/>
              </w:rPr>
            </w:pPr>
            <w:r w:rsidRPr="00C544C5">
              <w:rPr>
                <w:rFonts w:ascii="Liberation Serif" w:hAnsi="Liberation Serif"/>
                <w:b/>
                <w:i/>
                <w:sz w:val="28"/>
                <w:szCs w:val="28"/>
              </w:rPr>
              <w:t>Верхняя Пышма</w:t>
            </w:r>
            <w:bookmarkEnd w:id="0"/>
          </w:p>
        </w:tc>
      </w:tr>
      <w:tr w:rsidR="00C544C5" w:rsidRPr="004E410B" w:rsidTr="00893FA8">
        <w:tc>
          <w:tcPr>
            <w:tcW w:w="9460" w:type="dxa"/>
            <w:gridSpan w:val="5"/>
          </w:tcPr>
          <w:p w:rsidR="00C544C5" w:rsidRDefault="00C544C5" w:rsidP="00893FA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C544C5" w:rsidRPr="0004316B" w:rsidRDefault="00C544C5" w:rsidP="00893FA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544C5" w:rsidRPr="00471E25" w:rsidRDefault="00C544C5" w:rsidP="00C544C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71E25">
        <w:rPr>
          <w:rFonts w:ascii="Liberation Serif" w:hAnsi="Liberation Serif"/>
          <w:sz w:val="26"/>
          <w:szCs w:val="26"/>
        </w:rPr>
        <w:t>В целях обеспечения эффективного использования муниципального имущества городского округа Верхняя Пышма, в соответствии с Федеральн</w:t>
      </w:r>
      <w:r>
        <w:rPr>
          <w:rFonts w:ascii="Liberation Serif" w:hAnsi="Liberation Serif"/>
          <w:sz w:val="26"/>
          <w:szCs w:val="26"/>
        </w:rPr>
        <w:t>ыми законами от 06.10.2003 № 131-</w:t>
      </w:r>
      <w:r w:rsidRPr="00471E25">
        <w:rPr>
          <w:rFonts w:ascii="Liberation Serif" w:hAnsi="Liberation Serif"/>
          <w:sz w:val="26"/>
          <w:szCs w:val="26"/>
        </w:rPr>
        <w:t xml:space="preserve">ФЗ «Об общих принципах организации местного самоуправления в Российской </w:t>
      </w:r>
      <w:r>
        <w:rPr>
          <w:rFonts w:ascii="Liberation Serif" w:hAnsi="Liberation Serif"/>
          <w:sz w:val="26"/>
          <w:szCs w:val="26"/>
        </w:rPr>
        <w:t xml:space="preserve">Федерации», </w:t>
      </w:r>
      <w:r w:rsidRPr="00471E25">
        <w:rPr>
          <w:rFonts w:ascii="Liberation Serif" w:hAnsi="Liberation Serif"/>
          <w:sz w:val="26"/>
          <w:szCs w:val="26"/>
        </w:rPr>
        <w:t xml:space="preserve">от 14.11.2002 № 161-ФЗ </w:t>
      </w:r>
      <w:r>
        <w:rPr>
          <w:rFonts w:ascii="Liberation Serif" w:hAnsi="Liberation Serif"/>
          <w:sz w:val="26"/>
          <w:szCs w:val="26"/>
        </w:rPr>
        <w:t xml:space="preserve">                                         </w:t>
      </w:r>
      <w:r w:rsidRPr="00471E25">
        <w:rPr>
          <w:rFonts w:ascii="Liberation Serif" w:hAnsi="Liberation Serif"/>
          <w:sz w:val="26"/>
          <w:szCs w:val="26"/>
        </w:rPr>
        <w:t>«О государственных и муниципальных унитарных предпр</w:t>
      </w:r>
      <w:r>
        <w:rPr>
          <w:rFonts w:ascii="Liberation Serif" w:hAnsi="Liberation Serif"/>
          <w:sz w:val="26"/>
          <w:szCs w:val="26"/>
        </w:rPr>
        <w:t xml:space="preserve">иятиях», от </w:t>
      </w:r>
      <w:r w:rsidRPr="00471E25">
        <w:rPr>
          <w:rFonts w:ascii="Liberation Serif" w:hAnsi="Liberation Serif"/>
          <w:sz w:val="26"/>
          <w:szCs w:val="26"/>
        </w:rPr>
        <w:t xml:space="preserve">12.01.1996 </w:t>
      </w:r>
      <w:r>
        <w:rPr>
          <w:rFonts w:ascii="Liberation Serif" w:hAnsi="Liberation Serif"/>
          <w:sz w:val="26"/>
          <w:szCs w:val="26"/>
        </w:rPr>
        <w:t xml:space="preserve">                    </w:t>
      </w:r>
      <w:r w:rsidRPr="00471E25">
        <w:rPr>
          <w:rFonts w:ascii="Liberation Serif" w:hAnsi="Liberation Serif"/>
          <w:sz w:val="26"/>
          <w:szCs w:val="26"/>
        </w:rPr>
        <w:t xml:space="preserve">№ 7-ФЗ «О некоммерческих организациях», Решением Думы городского округа Верхняя Пышма от 25.09.2014 № 19/4 «О </w:t>
      </w:r>
      <w:proofErr w:type="gramStart"/>
      <w:r w:rsidRPr="00471E25">
        <w:rPr>
          <w:rFonts w:ascii="Liberation Serif" w:hAnsi="Liberation Serif"/>
          <w:sz w:val="26"/>
          <w:szCs w:val="26"/>
        </w:rPr>
        <w:t>Положении</w:t>
      </w:r>
      <w:proofErr w:type="gramEnd"/>
      <w:r w:rsidRPr="00471E25">
        <w:rPr>
          <w:rFonts w:ascii="Liberation Serif" w:hAnsi="Liberation Serif"/>
          <w:sz w:val="26"/>
          <w:szCs w:val="26"/>
        </w:rPr>
        <w:t xml:space="preserve"> о системе показателей оценки эффективности использования и управления муниципальным имуществом городского округа Верхняя Пышма», руководствуясь Уставом городского округа Верхняя Пышма</w:t>
      </w:r>
      <w:r>
        <w:rPr>
          <w:rFonts w:ascii="Liberation Serif" w:hAnsi="Liberation Serif"/>
          <w:sz w:val="26"/>
          <w:szCs w:val="26"/>
        </w:rPr>
        <w:t>, администрация городского округа Верхняя Пышма</w:t>
      </w:r>
    </w:p>
    <w:p w:rsidR="00C544C5" w:rsidRDefault="00C544C5" w:rsidP="00C544C5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C544C5" w:rsidRPr="00471E25" w:rsidRDefault="00C544C5" w:rsidP="00C544C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71E25">
        <w:rPr>
          <w:rFonts w:ascii="Liberation Serif" w:hAnsi="Liberation Serif"/>
          <w:sz w:val="26"/>
          <w:szCs w:val="26"/>
        </w:rPr>
        <w:t xml:space="preserve">1. Утвердить порядок </w:t>
      </w:r>
      <w:proofErr w:type="gramStart"/>
      <w:r w:rsidRPr="00471E25">
        <w:rPr>
          <w:rFonts w:ascii="Liberation Serif" w:hAnsi="Liberation Serif"/>
          <w:sz w:val="26"/>
          <w:szCs w:val="26"/>
        </w:rPr>
        <w:t>проведения оценки эффективности использования муниципального имущества</w:t>
      </w:r>
      <w:proofErr w:type="gramEnd"/>
      <w:r w:rsidRPr="00471E25">
        <w:rPr>
          <w:rFonts w:ascii="Liberation Serif" w:hAnsi="Liberation Serif"/>
          <w:sz w:val="26"/>
          <w:szCs w:val="26"/>
        </w:rPr>
        <w:t xml:space="preserve"> городского округа Верхняя Пышма (приложение № 1). </w:t>
      </w:r>
    </w:p>
    <w:p w:rsidR="00C544C5" w:rsidRPr="00471E25" w:rsidRDefault="00C544C5" w:rsidP="00C544C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71E25">
        <w:rPr>
          <w:rFonts w:ascii="Liberation Serif" w:hAnsi="Liberation Serif"/>
          <w:sz w:val="26"/>
          <w:szCs w:val="26"/>
        </w:rPr>
        <w:t>2. Утвердить критерии оценки эффективности использования муниципального имущества, находящегося в собственности городского округа Верхняя Пышма (приложение № 2).</w:t>
      </w:r>
    </w:p>
    <w:p w:rsidR="00C544C5" w:rsidRDefault="00C544C5" w:rsidP="00C544C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71E25">
        <w:rPr>
          <w:rFonts w:ascii="Liberation Serif" w:hAnsi="Liberation Serif"/>
          <w:sz w:val="26"/>
          <w:szCs w:val="26"/>
        </w:rPr>
        <w:t xml:space="preserve">3. Опубликовать настоящее постановление </w:t>
      </w:r>
      <w:r>
        <w:rPr>
          <w:rFonts w:ascii="Liberation Serif" w:hAnsi="Liberation Serif"/>
          <w:sz w:val="26"/>
          <w:szCs w:val="26"/>
        </w:rPr>
        <w:t xml:space="preserve">в газете «Красное знамя», </w:t>
      </w:r>
      <w:r w:rsidRPr="00471E25">
        <w:rPr>
          <w:rFonts w:ascii="Liberation Serif" w:hAnsi="Liberation Serif"/>
          <w:sz w:val="26"/>
          <w:szCs w:val="26"/>
        </w:rPr>
        <w:t>на официальном интернет-портале правовой информации городского округа Верхняя Пышма (</w:t>
      </w:r>
      <w:proofErr w:type="spellStart"/>
      <w:r w:rsidRPr="00471E25">
        <w:rPr>
          <w:rFonts w:ascii="Liberation Serif" w:hAnsi="Liberation Serif"/>
          <w:sz w:val="26"/>
          <w:szCs w:val="26"/>
        </w:rPr>
        <w:t>верхняяпышма-право</w:t>
      </w:r>
      <w:proofErr w:type="gramStart"/>
      <w:r w:rsidRPr="00471E25">
        <w:rPr>
          <w:rFonts w:ascii="Liberation Serif" w:hAnsi="Liberation Serif"/>
          <w:sz w:val="26"/>
          <w:szCs w:val="26"/>
        </w:rPr>
        <w:t>.р</w:t>
      </w:r>
      <w:proofErr w:type="gramEnd"/>
      <w:r w:rsidRPr="00471E25">
        <w:rPr>
          <w:rFonts w:ascii="Liberation Serif" w:hAnsi="Liberation Serif"/>
          <w:sz w:val="26"/>
          <w:szCs w:val="26"/>
        </w:rPr>
        <w:t>ф</w:t>
      </w:r>
      <w:proofErr w:type="spellEnd"/>
      <w:r w:rsidRPr="00471E25">
        <w:rPr>
          <w:rFonts w:ascii="Liberation Serif" w:hAnsi="Liberation Serif"/>
          <w:sz w:val="26"/>
          <w:szCs w:val="26"/>
        </w:rPr>
        <w:t>) и разместить на официальном сайте городского округа Верхняя П</w:t>
      </w:r>
      <w:r>
        <w:rPr>
          <w:rFonts w:ascii="Liberation Serif" w:hAnsi="Liberation Serif"/>
          <w:sz w:val="26"/>
          <w:szCs w:val="26"/>
        </w:rPr>
        <w:t>ышма.</w:t>
      </w:r>
    </w:p>
    <w:p w:rsidR="00C544C5" w:rsidRPr="00471E25" w:rsidRDefault="00C544C5" w:rsidP="00C544C5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71E25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471E25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471E25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471E25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471E25">
        <w:rPr>
          <w:rFonts w:ascii="Liberation Serif" w:hAnsi="Liberation Serif"/>
          <w:sz w:val="26"/>
          <w:szCs w:val="26"/>
        </w:rPr>
        <w:t xml:space="preserve"> М.С.</w:t>
      </w:r>
    </w:p>
    <w:p w:rsidR="00C544C5" w:rsidRDefault="00C544C5" w:rsidP="00C544C5">
      <w:pPr>
        <w:widowControl w:val="0"/>
        <w:ind w:firstLine="709"/>
        <w:jc w:val="both"/>
        <w:rPr>
          <w:sz w:val="26"/>
          <w:szCs w:val="26"/>
        </w:rPr>
      </w:pPr>
    </w:p>
    <w:p w:rsidR="00C544C5" w:rsidRDefault="00C544C5" w:rsidP="00C544C5">
      <w:pPr>
        <w:widowControl w:val="0"/>
        <w:ind w:firstLine="709"/>
        <w:jc w:val="both"/>
        <w:rPr>
          <w:sz w:val="26"/>
          <w:szCs w:val="26"/>
        </w:rPr>
      </w:pPr>
    </w:p>
    <w:p w:rsidR="00C544C5" w:rsidRPr="00471E25" w:rsidRDefault="00C544C5" w:rsidP="00C544C5">
      <w:pPr>
        <w:widowControl w:val="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471E25">
        <w:rPr>
          <w:rFonts w:ascii="Liberation Serif" w:hAnsi="Liberation Serif"/>
          <w:sz w:val="26"/>
          <w:szCs w:val="26"/>
        </w:rPr>
        <w:t>Исполняющий</w:t>
      </w:r>
      <w:proofErr w:type="gramEnd"/>
      <w:r w:rsidRPr="00471E25">
        <w:rPr>
          <w:rFonts w:ascii="Liberation Serif" w:hAnsi="Liberation Serif"/>
          <w:sz w:val="26"/>
          <w:szCs w:val="26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6"/>
        <w:gridCol w:w="3279"/>
      </w:tblGrid>
      <w:tr w:rsidR="00C544C5" w:rsidRPr="004E410B" w:rsidTr="00893FA8">
        <w:tc>
          <w:tcPr>
            <w:tcW w:w="6237" w:type="dxa"/>
            <w:vAlign w:val="bottom"/>
          </w:tcPr>
          <w:p w:rsidR="00C544C5" w:rsidRPr="00471E25" w:rsidRDefault="00C544C5" w:rsidP="00893FA8">
            <w:pPr>
              <w:rPr>
                <w:rFonts w:ascii="Liberation Serif" w:hAnsi="Liberation Serif"/>
                <w:sz w:val="26"/>
                <w:szCs w:val="26"/>
              </w:rPr>
            </w:pPr>
            <w:r w:rsidRPr="00471E25">
              <w:rPr>
                <w:rFonts w:ascii="Liberation Serif" w:hAnsi="Liberation Serif"/>
                <w:sz w:val="26"/>
                <w:szCs w:val="26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544C5" w:rsidRPr="00471E25" w:rsidRDefault="00C544C5" w:rsidP="00893FA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471E25">
              <w:rPr>
                <w:rFonts w:ascii="Liberation Serif" w:hAnsi="Liberation Serif"/>
                <w:sz w:val="26"/>
                <w:szCs w:val="26"/>
              </w:rPr>
              <w:t>В.Н. Николишин</w:t>
            </w:r>
          </w:p>
        </w:tc>
      </w:tr>
    </w:tbl>
    <w:p w:rsidR="00C544C5" w:rsidRPr="00EC798A" w:rsidRDefault="00C544C5" w:rsidP="00C544C5">
      <w:pPr>
        <w:pStyle w:val="ConsNormal"/>
        <w:widowControl/>
        <w:ind w:firstLine="0"/>
      </w:pPr>
    </w:p>
    <w:p w:rsidR="006E1190" w:rsidRDefault="006E1190"/>
    <w:p w:rsidR="00C544C5" w:rsidRDefault="00C544C5"/>
    <w:p w:rsidR="00C544C5" w:rsidRDefault="00C544C5"/>
    <w:p w:rsidR="00C544C5" w:rsidRDefault="00C544C5"/>
    <w:p w:rsidR="00C544C5" w:rsidRDefault="00C544C5"/>
    <w:p w:rsidR="00C544C5" w:rsidRPr="00C544C5" w:rsidRDefault="00C544C5" w:rsidP="00C544C5">
      <w:pPr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lastRenderedPageBreak/>
        <w:t>УТВЕРЖДЕН</w:t>
      </w:r>
    </w:p>
    <w:p w:rsidR="00C544C5" w:rsidRPr="00C544C5" w:rsidRDefault="00C544C5" w:rsidP="00C544C5">
      <w:pPr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постановлением администрации </w:t>
      </w:r>
    </w:p>
    <w:p w:rsidR="00C544C5" w:rsidRPr="00C544C5" w:rsidRDefault="00C544C5" w:rsidP="00C544C5">
      <w:pPr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городского округа Верхняя Пышма </w:t>
      </w:r>
    </w:p>
    <w:p w:rsidR="00C544C5" w:rsidRPr="00C544C5" w:rsidRDefault="00C544C5" w:rsidP="00C544C5">
      <w:pPr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от _________________ № _______</w:t>
      </w: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b/>
          <w:lang w:eastAsia="en-US"/>
        </w:rPr>
      </w:pPr>
      <w:r w:rsidRPr="00C544C5">
        <w:rPr>
          <w:rFonts w:ascii="Liberation Serif" w:eastAsia="Calibri" w:hAnsi="Liberation Serif"/>
          <w:b/>
          <w:lang w:eastAsia="en-US"/>
        </w:rPr>
        <w:t xml:space="preserve">Порядок </w:t>
      </w:r>
      <w:proofErr w:type="gramStart"/>
      <w:r w:rsidRPr="00C544C5">
        <w:rPr>
          <w:rFonts w:ascii="Liberation Serif" w:eastAsia="Calibri" w:hAnsi="Liberation Serif"/>
          <w:b/>
          <w:lang w:eastAsia="en-US"/>
        </w:rPr>
        <w:t>проведения оценки эффективности использования муниципального имущества</w:t>
      </w:r>
      <w:proofErr w:type="gramEnd"/>
      <w:r w:rsidRPr="00C544C5">
        <w:rPr>
          <w:rFonts w:ascii="Liberation Serif" w:eastAsia="Calibri" w:hAnsi="Liberation Serif"/>
          <w:b/>
          <w:lang w:eastAsia="en-US"/>
        </w:rPr>
        <w:t xml:space="preserve"> городского округа Верхняя Пышма </w:t>
      </w: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b/>
          <w:lang w:eastAsia="en-US"/>
        </w:rPr>
      </w:pPr>
      <w:r w:rsidRPr="00C544C5">
        <w:rPr>
          <w:rFonts w:ascii="Liberation Serif" w:eastAsia="Calibri" w:hAnsi="Liberation Serif"/>
          <w:b/>
          <w:lang w:eastAsia="en-US"/>
        </w:rPr>
        <w:t>(далее – Порядок)</w:t>
      </w: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 Общие положения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1.1. Оценка эффективности использования и управления муниципальным имуществом городского округа Верхняя Пышма проводится в целях повышения эффективности распоряжения муниципальным имуществом, увеличения доходов от использования муниципального имущества и оптимизации механизмов управления муниципальным имуществом.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1.2. В </w:t>
      </w:r>
      <w:proofErr w:type="gramStart"/>
      <w:r w:rsidRPr="00C544C5">
        <w:rPr>
          <w:rFonts w:ascii="Liberation Serif" w:eastAsia="Calibri" w:hAnsi="Liberation Serif"/>
          <w:lang w:eastAsia="en-US"/>
        </w:rPr>
        <w:t>целях</w:t>
      </w:r>
      <w:proofErr w:type="gramEnd"/>
      <w:r w:rsidRPr="00C544C5">
        <w:rPr>
          <w:rFonts w:ascii="Liberation Serif" w:eastAsia="Calibri" w:hAnsi="Liberation Serif"/>
          <w:lang w:eastAsia="en-US"/>
        </w:rPr>
        <w:t xml:space="preserve"> проведения оценки эффективности использования муниципальное имущество городского округа Верхняя Пышма подразделяется на три группы: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- имущество, переданное на праве хозяйственного ведения муниципальным унитарным предприятиям;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- имущество, переданное на праве оперативного управления муниципальным учреждениям;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- имущество муниципальной казны.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1.3. Расчет показателей оценки эффективности использования и управления муниципальным имуществом городского округа Верхняя Пышма обязателен для всех видов имущества, указанных в пункте 1.2 настоящего Положения, и осуществляется по учреждениям, предприятиям в целом и отдельно по каждому учреждению, предприятию (далее – организации).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1.4. </w:t>
      </w:r>
      <w:proofErr w:type="gramStart"/>
      <w:r w:rsidRPr="00C544C5">
        <w:rPr>
          <w:rFonts w:ascii="Liberation Serif" w:eastAsia="Calibri" w:hAnsi="Liberation Serif"/>
          <w:lang w:eastAsia="en-US"/>
        </w:rPr>
        <w:t>Организации ежегодно не позднее 01 марта года, следующего за отчетным периодом, представляют в структурные подразделения администрации городского округа Верхняя Пышма, перечисленные в приложении № 1 к Порядку, (далее – органы администрации) отчет о показателях эффективности использования муниципального имущества по форме 1 согласно приложению № 2 к Порядку или по форме 2 согласно приложению № 3 к Порядку.</w:t>
      </w:r>
      <w:proofErr w:type="gramEnd"/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1.5. Органы администрации проводят оценку эффективности использования и управления муниципальным имуществом городского округа Верхняя Пышма в соответствии с Критериями оценки эффективности использования муниципального имущества, находящегося в собственности городского округа Верхняя Пышма, представленными в приложении № 2 к настоящему постановлению администрации городского округа Верхняя Пышма.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1.6. Итоговые результаты </w:t>
      </w:r>
      <w:proofErr w:type="gramStart"/>
      <w:r w:rsidRPr="00C544C5">
        <w:rPr>
          <w:rFonts w:ascii="Liberation Serif" w:eastAsia="Calibri" w:hAnsi="Liberation Serif"/>
          <w:lang w:eastAsia="en-US"/>
        </w:rPr>
        <w:t>оценки критериев эффективности использования муниципального имущества</w:t>
      </w:r>
      <w:proofErr w:type="gramEnd"/>
      <w:r w:rsidRPr="00C544C5">
        <w:rPr>
          <w:rFonts w:ascii="Liberation Serif" w:eastAsia="Calibri" w:hAnsi="Liberation Serif"/>
          <w:lang w:eastAsia="en-US"/>
        </w:rPr>
        <w:t xml:space="preserve"> формируются посредством суммирования баллов по всем показателям.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1.7. Информация, приведенная в таблице 1 приложения 2, таблице 2 приложения 3 носит справочный характер.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1.8. Органы администрации в </w:t>
      </w:r>
      <w:proofErr w:type="gramStart"/>
      <w:r w:rsidRPr="00C544C5">
        <w:rPr>
          <w:rFonts w:ascii="Liberation Serif" w:eastAsia="Calibri" w:hAnsi="Liberation Serif"/>
          <w:lang w:eastAsia="en-US"/>
        </w:rPr>
        <w:t>соответствии</w:t>
      </w:r>
      <w:proofErr w:type="gramEnd"/>
      <w:r w:rsidRPr="00C544C5">
        <w:rPr>
          <w:rFonts w:ascii="Liberation Serif" w:eastAsia="Calibri" w:hAnsi="Liberation Serif"/>
          <w:lang w:eastAsia="en-US"/>
        </w:rPr>
        <w:t xml:space="preserve"> с пунктом 6 Положения о системе показателей оценки эффективности использования и управления муниципальным имуществом городского округа Верхняя Пышма, утвержденного Решением Думы городского округа Верхняя Пышма от 25.09.2014 № 19/4, проводят анализ оценок значений каждого критерия с указанием:</w:t>
      </w:r>
    </w:p>
    <w:p w:rsidR="00C544C5" w:rsidRPr="00C544C5" w:rsidRDefault="00C544C5" w:rsidP="00C544C5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выявленных причин неэффективности использования муниципального имущества;</w:t>
      </w:r>
    </w:p>
    <w:p w:rsidR="00C544C5" w:rsidRPr="00C544C5" w:rsidRDefault="00C544C5" w:rsidP="00C544C5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рекомендаций по совершенствованию системы управления муниципальным имуществом;</w:t>
      </w:r>
    </w:p>
    <w:p w:rsidR="00C544C5" w:rsidRPr="00C544C5" w:rsidRDefault="00C544C5" w:rsidP="00C544C5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lastRenderedPageBreak/>
        <w:t>необходимости внесения изменений и дополнений в трудовой договор руководителя организации;</w:t>
      </w:r>
    </w:p>
    <w:p w:rsidR="00C544C5" w:rsidRPr="00C544C5" w:rsidRDefault="00C544C5" w:rsidP="00C544C5">
      <w:pPr>
        <w:numPr>
          <w:ilvl w:val="0"/>
          <w:numId w:val="3"/>
        </w:numPr>
        <w:spacing w:after="160" w:line="259" w:lineRule="auto"/>
        <w:ind w:firstLine="349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необходимости досрочного расторжения трудового договора с руководителем организации;</w:t>
      </w:r>
    </w:p>
    <w:p w:rsidR="00C544C5" w:rsidRPr="00C544C5" w:rsidRDefault="00C544C5" w:rsidP="00C544C5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предложений о реорганизации, ликвидации организации, а также о приватизации муниципального унитарного предприятия. 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color w:val="FF0000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1.9. Органы администрации:</w:t>
      </w:r>
    </w:p>
    <w:p w:rsidR="00C544C5" w:rsidRPr="00C544C5" w:rsidRDefault="00C544C5" w:rsidP="00C544C5">
      <w:pPr>
        <w:numPr>
          <w:ilvl w:val="0"/>
          <w:numId w:val="2"/>
        </w:numPr>
        <w:spacing w:after="160" w:line="259" w:lineRule="auto"/>
        <w:ind w:firstLine="422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в срок до 12 апреля года, следующего за </w:t>
      </w:r>
      <w:proofErr w:type="gramStart"/>
      <w:r w:rsidRPr="00C544C5">
        <w:rPr>
          <w:rFonts w:ascii="Liberation Serif" w:eastAsia="Calibri" w:hAnsi="Liberation Serif"/>
          <w:lang w:eastAsia="en-US"/>
        </w:rPr>
        <w:t>отчетным</w:t>
      </w:r>
      <w:proofErr w:type="gramEnd"/>
      <w:r w:rsidRPr="00C544C5">
        <w:rPr>
          <w:rFonts w:ascii="Liberation Serif" w:eastAsia="Calibri" w:hAnsi="Liberation Serif"/>
          <w:lang w:eastAsia="en-US"/>
        </w:rPr>
        <w:t>, согласовывают с заместителями главы администрации городского округа Верхняя Пышма, курирующими деятельность организаций, результаты оценки эффективности использования муниципального имущества;</w:t>
      </w:r>
    </w:p>
    <w:p w:rsidR="00C544C5" w:rsidRPr="00C544C5" w:rsidRDefault="00C544C5" w:rsidP="00C544C5">
      <w:pPr>
        <w:numPr>
          <w:ilvl w:val="0"/>
          <w:numId w:val="2"/>
        </w:numPr>
        <w:spacing w:after="160" w:line="259" w:lineRule="auto"/>
        <w:ind w:firstLine="422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в срок до 19 апреля года, следующего за отчетным, передают результаты оценки эффективности использования муниципального имущества в Комитет по управлению имуществом администрации городского округа Верхняя Пышма (далее – Комитет по управлению имуществом) для формирования заключения об оценке эффективности использования и управления муниципальным имуществом городского округа Верхняя Пышма.</w:t>
      </w:r>
    </w:p>
    <w:p w:rsidR="00C544C5" w:rsidRPr="00C544C5" w:rsidRDefault="00C544C5" w:rsidP="00C544C5">
      <w:pPr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1.10. Особенности </w:t>
      </w:r>
      <w:proofErr w:type="gramStart"/>
      <w:r w:rsidRPr="00C544C5">
        <w:rPr>
          <w:rFonts w:ascii="Liberation Serif" w:eastAsia="Calibri" w:hAnsi="Liberation Serif"/>
          <w:lang w:eastAsia="en-US"/>
        </w:rPr>
        <w:t>проведения оценки эффективности использования имущества муниципальной казны</w:t>
      </w:r>
      <w:proofErr w:type="gramEnd"/>
      <w:r w:rsidRPr="00C544C5">
        <w:rPr>
          <w:rFonts w:ascii="Liberation Serif" w:eastAsia="Calibri" w:hAnsi="Liberation Serif"/>
          <w:lang w:eastAsia="en-US"/>
        </w:rPr>
        <w:t xml:space="preserve"> указаны в разделе 4 настоящего порядка. 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1.11. Комитет по управлению имуществом в срок до 24 апреля года, следующего за отчетным, направляет заключение об оценке эффективности использования и управления муниципальным имуществом городского округа Верхняя Пышма с результатами оценки эффективности деятельности организаций и внесенными предложениями по ним Главе городского округа Верхняя Пышма для принятия решения.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1.12. Утверждённое Главой городского округа Верхняя Пышма заключение об оценке эффективности использования и управления муниципальным имуществом городского округа направляется Комитетом по управлению имуществом в Финансовое управление администрации городского округа Верхняя Пышма в срок до 29 апреля года, следующего </w:t>
      </w:r>
      <w:proofErr w:type="gramStart"/>
      <w:r w:rsidRPr="00C544C5">
        <w:rPr>
          <w:rFonts w:ascii="Liberation Serif" w:eastAsia="Calibri" w:hAnsi="Liberation Serif"/>
          <w:lang w:eastAsia="en-US"/>
        </w:rPr>
        <w:t>за</w:t>
      </w:r>
      <w:proofErr w:type="gramEnd"/>
      <w:r w:rsidRPr="00C544C5">
        <w:rPr>
          <w:rFonts w:ascii="Liberation Serif" w:eastAsia="Calibri" w:hAnsi="Liberation Serif"/>
          <w:lang w:eastAsia="en-US"/>
        </w:rPr>
        <w:t xml:space="preserve"> отчетным.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2. Порядок оценки эффективности</w:t>
      </w:r>
      <w:r w:rsidRPr="00C544C5">
        <w:rPr>
          <w:rFonts w:ascii="Liberation Serif" w:hAnsi="Liberation Serif"/>
        </w:rPr>
        <w:t xml:space="preserve"> управления имуществом, переданного на праве хозяйственного ведения муниципальным унитарным предприятиям (далее - МУП)</w:t>
      </w:r>
    </w:p>
    <w:p w:rsidR="00C544C5" w:rsidRPr="00C544C5" w:rsidRDefault="00C544C5" w:rsidP="00C544C5">
      <w:pPr>
        <w:contextualSpacing/>
        <w:jc w:val="both"/>
        <w:rPr>
          <w:rFonts w:ascii="Liberation Serif" w:hAnsi="Liberation Serif"/>
        </w:rPr>
      </w:pPr>
    </w:p>
    <w:p w:rsidR="00C544C5" w:rsidRPr="00C544C5" w:rsidRDefault="00C544C5" w:rsidP="00C544C5">
      <w:pPr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2.1. Муниципальные унитарные предприятия представляют отчет о показателях эффективности по форме 1 согласно приложению № 2 к Порядку.</w:t>
      </w:r>
    </w:p>
    <w:p w:rsidR="00C544C5" w:rsidRPr="00C544C5" w:rsidRDefault="00C544C5" w:rsidP="00C544C5">
      <w:pPr>
        <w:numPr>
          <w:ilvl w:val="1"/>
          <w:numId w:val="14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 Использование муниципального имущества муниципальными унитарными предприятиями признается эффективным, если в результате суммарная оценка по всем критериям равна 60 баллам, деятельность предприятия является эффективной, предприятие относится </w:t>
      </w:r>
      <w:proofErr w:type="gramStart"/>
      <w:r w:rsidRPr="00C544C5">
        <w:rPr>
          <w:rFonts w:ascii="Liberation Serif" w:hAnsi="Liberation Serif"/>
        </w:rPr>
        <w:t>к</w:t>
      </w:r>
      <w:proofErr w:type="gramEnd"/>
      <w:r w:rsidRPr="00C544C5">
        <w:rPr>
          <w:rFonts w:ascii="Liberation Serif" w:hAnsi="Liberation Serif"/>
        </w:rPr>
        <w:t xml:space="preserve"> стабильно развивающимся.</w:t>
      </w:r>
    </w:p>
    <w:p w:rsidR="00C544C5" w:rsidRPr="00C544C5" w:rsidRDefault="00C544C5" w:rsidP="00C544C5">
      <w:pPr>
        <w:numPr>
          <w:ilvl w:val="1"/>
          <w:numId w:val="14"/>
        </w:numPr>
        <w:spacing w:after="160" w:line="259" w:lineRule="auto"/>
        <w:ind w:firstLine="720"/>
        <w:contextualSpacing/>
        <w:jc w:val="both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hAnsi="Liberation Serif"/>
        </w:rPr>
        <w:t>Использование муниципального имущества муниципальными унитарными предприятиями признается неэффективным, если сумма составляет менее 59 баллов.</w:t>
      </w:r>
    </w:p>
    <w:p w:rsidR="00C544C5" w:rsidRPr="00C544C5" w:rsidRDefault="00C544C5" w:rsidP="00C544C5">
      <w:pPr>
        <w:contextualSpacing/>
        <w:jc w:val="both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3. Порядок оценки эффективности</w:t>
      </w:r>
      <w:r w:rsidRPr="00C544C5">
        <w:rPr>
          <w:rFonts w:ascii="Liberation Serif" w:hAnsi="Liberation Serif"/>
        </w:rPr>
        <w:t xml:space="preserve"> управления имуществом, переданного на праве оперативного управления муниципальным учреждениям</w:t>
      </w:r>
    </w:p>
    <w:p w:rsidR="00C544C5" w:rsidRPr="00C544C5" w:rsidRDefault="00C544C5" w:rsidP="00C544C5">
      <w:pPr>
        <w:contextualSpacing/>
        <w:jc w:val="both"/>
        <w:outlineLvl w:val="1"/>
        <w:rPr>
          <w:rFonts w:ascii="Liberation Serif" w:hAnsi="Liberation Serif"/>
        </w:rPr>
      </w:pPr>
    </w:p>
    <w:p w:rsidR="00C544C5" w:rsidRPr="00C544C5" w:rsidRDefault="00C544C5" w:rsidP="00C544C5">
      <w:pPr>
        <w:numPr>
          <w:ilvl w:val="1"/>
          <w:numId w:val="15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Муниципальные учреждения представляют отчет о показателях эффективности по форме 2 согласно приложению № 3 к Порядку.</w:t>
      </w:r>
    </w:p>
    <w:p w:rsidR="00C544C5" w:rsidRPr="00C544C5" w:rsidRDefault="00C544C5" w:rsidP="00C544C5">
      <w:pPr>
        <w:numPr>
          <w:ilvl w:val="1"/>
          <w:numId w:val="15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lastRenderedPageBreak/>
        <w:t xml:space="preserve">Использование муниципального имущества муниципальными учреждениями признается эффективным, если в результате суммарная оценка по всем критериям равна 40 баллам, деятельность учреждения является эффективной, предприятие относится </w:t>
      </w:r>
      <w:proofErr w:type="gramStart"/>
      <w:r w:rsidRPr="00C544C5">
        <w:rPr>
          <w:rFonts w:ascii="Liberation Serif" w:hAnsi="Liberation Serif"/>
        </w:rPr>
        <w:t>к</w:t>
      </w:r>
      <w:proofErr w:type="gramEnd"/>
      <w:r w:rsidRPr="00C544C5">
        <w:rPr>
          <w:rFonts w:ascii="Liberation Serif" w:hAnsi="Liberation Serif"/>
        </w:rPr>
        <w:t xml:space="preserve"> стабильно развивающимся.</w:t>
      </w:r>
    </w:p>
    <w:p w:rsidR="00C544C5" w:rsidRPr="00C544C5" w:rsidRDefault="00C544C5" w:rsidP="00C544C5">
      <w:pPr>
        <w:numPr>
          <w:ilvl w:val="1"/>
          <w:numId w:val="15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Использование муниципального имущества муниципальными учреждениями предприятиями признается неэффективным, если сумма составляет менее 39 баллов.</w:t>
      </w:r>
    </w:p>
    <w:p w:rsidR="00C544C5" w:rsidRPr="00C544C5" w:rsidRDefault="00C544C5" w:rsidP="00C544C5">
      <w:pPr>
        <w:contextualSpacing/>
        <w:jc w:val="both"/>
        <w:outlineLvl w:val="1"/>
        <w:rPr>
          <w:rFonts w:ascii="Liberation Serif" w:hAnsi="Liberation Serif"/>
        </w:rPr>
      </w:pPr>
    </w:p>
    <w:p w:rsidR="00C544C5" w:rsidRPr="00C544C5" w:rsidRDefault="00C544C5" w:rsidP="00C544C5">
      <w:pPr>
        <w:numPr>
          <w:ilvl w:val="0"/>
          <w:numId w:val="15"/>
        </w:numPr>
        <w:spacing w:after="160" w:line="259" w:lineRule="auto"/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Порядок оценки эффективности управления имущества </w:t>
      </w: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муниципальной казны</w:t>
      </w:r>
    </w:p>
    <w:p w:rsidR="00C544C5" w:rsidRPr="00C544C5" w:rsidRDefault="00C544C5" w:rsidP="00C544C5">
      <w:pPr>
        <w:contextualSpacing/>
        <w:jc w:val="both"/>
        <w:outlineLvl w:val="1"/>
        <w:rPr>
          <w:rFonts w:ascii="Liberation Serif" w:hAnsi="Liberation Serif"/>
        </w:rPr>
      </w:pPr>
    </w:p>
    <w:p w:rsidR="00C544C5" w:rsidRPr="00C544C5" w:rsidRDefault="00C544C5" w:rsidP="00C544C5">
      <w:pPr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4.1. </w:t>
      </w:r>
      <w:proofErr w:type="gramStart"/>
      <w:r w:rsidRPr="00C544C5">
        <w:rPr>
          <w:rFonts w:ascii="Liberation Serif" w:hAnsi="Liberation Serif"/>
        </w:rPr>
        <w:t>Комитет по управлению имуществом ежегодно не позднее 20 марта года, следующего за отчетным, проводит анализ критериев оценки эффективности использования имущества муниципальной казны в разрезе по нежилым помещениям (зданиям) и земельным участкам по форме 3 согласно приложению 4 к Порядку.</w:t>
      </w:r>
      <w:proofErr w:type="gramEnd"/>
    </w:p>
    <w:p w:rsidR="00C544C5" w:rsidRPr="00C544C5" w:rsidRDefault="00C544C5" w:rsidP="00C544C5">
      <w:pPr>
        <w:numPr>
          <w:ilvl w:val="1"/>
          <w:numId w:val="16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В </w:t>
      </w:r>
      <w:proofErr w:type="gramStart"/>
      <w:r w:rsidRPr="00C544C5">
        <w:rPr>
          <w:rFonts w:ascii="Liberation Serif" w:hAnsi="Liberation Serif"/>
        </w:rPr>
        <w:t>случае</w:t>
      </w:r>
      <w:proofErr w:type="gramEnd"/>
      <w:r w:rsidRPr="00C544C5">
        <w:rPr>
          <w:rFonts w:ascii="Liberation Serif" w:hAnsi="Liberation Serif"/>
        </w:rPr>
        <w:t xml:space="preserve"> если суммарная оценка по всем критериям равна 20 баллам, управление имуществом является эффективным.</w:t>
      </w:r>
    </w:p>
    <w:p w:rsidR="00C544C5" w:rsidRPr="00C544C5" w:rsidRDefault="00C544C5" w:rsidP="00C544C5">
      <w:pPr>
        <w:numPr>
          <w:ilvl w:val="1"/>
          <w:numId w:val="16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В </w:t>
      </w:r>
      <w:proofErr w:type="gramStart"/>
      <w:r w:rsidRPr="00C544C5">
        <w:rPr>
          <w:rFonts w:ascii="Liberation Serif" w:hAnsi="Liberation Serif"/>
        </w:rPr>
        <w:t>случае</w:t>
      </w:r>
      <w:proofErr w:type="gramEnd"/>
      <w:r w:rsidRPr="00C544C5">
        <w:rPr>
          <w:rFonts w:ascii="Liberation Serif" w:hAnsi="Liberation Serif"/>
        </w:rPr>
        <w:t xml:space="preserve"> если суммарная оценка по всем критериям менее 19 баллов, управление имуществом является неэффективным. </w:t>
      </w:r>
    </w:p>
    <w:p w:rsidR="00C544C5" w:rsidRPr="00C544C5" w:rsidRDefault="00C544C5" w:rsidP="00C544C5">
      <w:pPr>
        <w:numPr>
          <w:ilvl w:val="1"/>
          <w:numId w:val="16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В </w:t>
      </w:r>
      <w:proofErr w:type="gramStart"/>
      <w:r w:rsidRPr="00C544C5">
        <w:rPr>
          <w:rFonts w:ascii="Liberation Serif" w:hAnsi="Liberation Serif"/>
        </w:rPr>
        <w:t>соответствии</w:t>
      </w:r>
      <w:proofErr w:type="gramEnd"/>
      <w:r w:rsidRPr="00C544C5">
        <w:rPr>
          <w:rFonts w:ascii="Liberation Serif" w:hAnsi="Liberation Serif"/>
        </w:rPr>
        <w:t xml:space="preserve"> с пунктом 6 Положения о системе показателей оценки эффективности использования и управления муниципальным имуществом городского округа Верхняя Пышма, утвержденного Решением Думы городского округа Верхняя Пышма от 25.09.2014 № 19/4, комитет по управлению имуществом проводит анализ оценок значений каждого критерия с указанием:</w:t>
      </w:r>
    </w:p>
    <w:p w:rsidR="00C544C5" w:rsidRPr="00C544C5" w:rsidRDefault="00C544C5" w:rsidP="00C544C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Liberation Serif" w:hAnsi="Liberation Serif"/>
        </w:rPr>
      </w:pPr>
      <w:proofErr w:type="gramStart"/>
      <w:r w:rsidRPr="00C544C5">
        <w:rPr>
          <w:rFonts w:ascii="Liberation Serif" w:hAnsi="Liberation Serif"/>
        </w:rPr>
        <w:t>выявленных</w:t>
      </w:r>
      <w:proofErr w:type="gramEnd"/>
      <w:r w:rsidRPr="00C544C5">
        <w:rPr>
          <w:rFonts w:ascii="Liberation Serif" w:hAnsi="Liberation Serif"/>
        </w:rPr>
        <w:t xml:space="preserve"> причины неэффективности использования муниципального имущества;</w:t>
      </w:r>
    </w:p>
    <w:p w:rsidR="00C544C5" w:rsidRPr="00C544C5" w:rsidRDefault="00C544C5" w:rsidP="00C544C5">
      <w:pPr>
        <w:numPr>
          <w:ilvl w:val="0"/>
          <w:numId w:val="10"/>
        </w:numPr>
        <w:spacing w:after="160" w:line="259" w:lineRule="auto"/>
        <w:ind w:firstLine="349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рекомендаций по совершенствованию системы управления муниципальным имуществом;</w:t>
      </w:r>
    </w:p>
    <w:p w:rsidR="00C544C5" w:rsidRPr="00C544C5" w:rsidRDefault="00C544C5" w:rsidP="00C544C5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предложений о приватизации (перепрофилировании) нежилых помещений (зданий);</w:t>
      </w:r>
    </w:p>
    <w:p w:rsidR="00C544C5" w:rsidRPr="00C544C5" w:rsidRDefault="00C544C5" w:rsidP="00C544C5">
      <w:pPr>
        <w:numPr>
          <w:ilvl w:val="0"/>
          <w:numId w:val="10"/>
        </w:numPr>
        <w:spacing w:after="160" w:line="259" w:lineRule="auto"/>
        <w:ind w:firstLine="36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предложений о проведении реконструкции и капитального ремонта, в том числе работ по приведению в надлежащее противопожарное состояние, нежилых помещений (зданий).</w:t>
      </w:r>
    </w:p>
    <w:p w:rsidR="00C544C5" w:rsidRPr="00C544C5" w:rsidRDefault="00C544C5" w:rsidP="00C544C5">
      <w:pPr>
        <w:numPr>
          <w:ilvl w:val="1"/>
          <w:numId w:val="16"/>
        </w:numPr>
        <w:spacing w:after="160" w:line="259" w:lineRule="auto"/>
        <w:ind w:firstLine="720"/>
        <w:contextualSpacing/>
        <w:jc w:val="both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Комитет по управлению имуществом в срок до 01 апреля года, следующего за отчетным, согласовывает с первым заместителем главы администрации по инвестиционной политике и развитию территории, результаты оценки эффективности использования муниципальной казны.</w:t>
      </w:r>
    </w:p>
    <w:p w:rsidR="00C544C5" w:rsidRPr="00C544C5" w:rsidRDefault="00C544C5" w:rsidP="00C544C5">
      <w:pPr>
        <w:contextualSpacing/>
        <w:jc w:val="both"/>
        <w:outlineLvl w:val="1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Приложение № 1</w:t>
      </w: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к Порядку</w:t>
      </w: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tbl>
      <w:tblPr>
        <w:tblStyle w:val="10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6379"/>
        <w:gridCol w:w="2835"/>
      </w:tblGrid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Муниципальные предприятия и учреждения городского округа Верхняя Пышма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Структурное подразделение администрации городского округа Верхняя Пышма, которым предоставляются результаты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оценки показателей эффективности использования муниципального имущества</w:t>
            </w:r>
            <w:proofErr w:type="gramEnd"/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унитарное предприятие «Водопроводно-канализационного хозяйства» городского округа Верхняя Пышма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Комитет по управлению имуществом</w:t>
            </w:r>
          </w:p>
        </w:tc>
      </w:tr>
      <w:tr w:rsidR="00C544C5" w:rsidRPr="00C544C5" w:rsidTr="00893FA8">
        <w:trPr>
          <w:trHeight w:val="327"/>
        </w:trPr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C544C5">
              <w:rPr>
                <w:sz w:val="24"/>
                <w:szCs w:val="24"/>
              </w:rPr>
              <w:t>Торфмаш</w:t>
            </w:r>
            <w:proofErr w:type="spellEnd"/>
            <w:r w:rsidRPr="00C544C5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унитарное предприятие «Верхнепышминский расчетный центр»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C5" w:rsidRPr="00C544C5" w:rsidRDefault="00C544C5" w:rsidP="00C544C5">
            <w:pPr>
              <w:contextualSpacing/>
              <w:rPr>
                <w:sz w:val="24"/>
                <w:szCs w:val="24"/>
              </w:rPr>
            </w:pPr>
            <w:proofErr w:type="gramStart"/>
            <w:r w:rsidRPr="00C544C5">
              <w:rPr>
                <w:sz w:val="24"/>
                <w:szCs w:val="24"/>
              </w:rPr>
              <w:t>Муниципальное</w:t>
            </w:r>
            <w:proofErr w:type="gramEnd"/>
            <w:r w:rsidRPr="00C544C5">
              <w:rPr>
                <w:sz w:val="24"/>
                <w:szCs w:val="24"/>
              </w:rPr>
              <w:t xml:space="preserve"> унитарное предприятие «ЦР Аптека № 57»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C5" w:rsidRPr="00C544C5" w:rsidRDefault="00C544C5" w:rsidP="00C544C5">
            <w:pPr>
              <w:contextualSpacing/>
              <w:rPr>
                <w:sz w:val="24"/>
                <w:szCs w:val="24"/>
                <w:highlight w:val="yellow"/>
              </w:rPr>
            </w:pPr>
            <w:r w:rsidRPr="00C544C5"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 w:rsidRPr="00C544C5">
              <w:rPr>
                <w:sz w:val="24"/>
                <w:szCs w:val="24"/>
              </w:rPr>
              <w:t>Кедровское</w:t>
            </w:r>
            <w:proofErr w:type="spellEnd"/>
            <w:r w:rsidRPr="00C544C5">
              <w:rPr>
                <w:sz w:val="24"/>
                <w:szCs w:val="24"/>
              </w:rPr>
              <w:t xml:space="preserve"> торговое предприятие»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«Комитет жилищно-коммунального хозяйства»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Комитет экономики и муниципального заказа</w:t>
            </w: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«Управление гражданской защиты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«Административно- хозяйственное управление»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tabs>
                <w:tab w:val="left" w:pos="720"/>
              </w:tabs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«Архив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«Управление капитального строительства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«Специализированная похоронная служба»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«Редакция газеты «Красное знамя»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бюджетное учреждение «Центр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пространственного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развития городского округа Верхняя Пышма»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казённое общеобразовательное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учреждение «Основная общеобразовательная школа № 29»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 xml:space="preserve">Отдел социальной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политики</w:t>
            </w: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1 с углубленным изучением отдельных предметов им. Б.С. Суворова»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«Средняя образовательная школа № 2 с углубленным изучением отдельных предметов им. М.И.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Талыкова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highlight w:val="yellow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4»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7»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9»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16»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22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24»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25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образовательное учреждение «Средняя образовательная школа № 33 с углубленным изучением отдельных предметов»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дополнительного образования детей «Дом детского творчества»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автономное учреждение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образования «Центр образования и профессиональной ориентации»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«Комбинат детского питания»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6», филиал «Детский сад № 43» МАДОУ «Детский сад № 6»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«Центр развития ребенка - Детский сад № 7 «Изумрудный город»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13»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19»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22»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85"/>
        </w:trPr>
        <w:tc>
          <w:tcPr>
            <w:tcW w:w="568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85"/>
        </w:trPr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85"/>
        </w:trPr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85"/>
        </w:trPr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40»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41»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42»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45»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47»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48»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дошкольное образовательное учреждение «Детский сад № 69»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«Загородный оздоровительный лагерь «Медная горка»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культуры «Верхнепышминский исторический музей»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культуры «Объединение сельских клубов «Луч»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бюджетное учреждение культуры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Верхнепышминская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бюджетное учреждение культуры «Верхнепышминский парк культуры и отдыха»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бюджетное учреждение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образования «Детская школа искусств»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tbl>
      <w:tblPr>
        <w:tblW w:w="2535" w:type="dxa"/>
        <w:tblInd w:w="665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35"/>
      </w:tblGrid>
      <w:tr w:rsidR="00C544C5" w:rsidRPr="00C544C5" w:rsidTr="00893FA8">
        <w:trPr>
          <w:trHeight w:val="100"/>
        </w:trPr>
        <w:tc>
          <w:tcPr>
            <w:tcW w:w="2535" w:type="dxa"/>
            <w:tcBorders>
              <w:top w:val="nil"/>
            </w:tcBorders>
          </w:tcPr>
          <w:p w:rsidR="00C544C5" w:rsidRPr="00C544C5" w:rsidRDefault="00C544C5" w:rsidP="00C544C5">
            <w:pPr>
              <w:spacing w:after="160" w:line="259" w:lineRule="auto"/>
              <w:contextualSpacing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tbl>
      <w:tblPr>
        <w:tblStyle w:val="10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6379"/>
        <w:gridCol w:w="2835"/>
      </w:tblGrid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бюджетное учреждение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образования «Детская художественная школа»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«Дворец культуры «Металлург»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образования «Детско-юношеская спортивная школа Лидер»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Муниципальное автономное образовательное учреждение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дополнительного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образования детей «Детско-юношеская спортивно-техническая школа по автомотоспорту»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«Объединение клубов по месту жительства»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Молодежный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досуговый центр «Алые паруса»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автономное учреждение «Ледовая арена им. Александра Козицына»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«Управление образования городского округа Верхняя Пышма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«Управление культуры городского округа Верхняя Пышма»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8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Муниципальное казённое учреждение «Управление физической культуры, спорта и молодежной политике городского округа Верхняя Пышма»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Приложение № 2</w:t>
      </w: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к Порядку</w:t>
      </w: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Форма 1</w:t>
      </w: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Показатели</w:t>
      </w:r>
      <w:r w:rsidRPr="00C544C5">
        <w:rPr>
          <w:rFonts w:ascii="Liberation Serif" w:hAnsi="Liberation Serif"/>
        </w:rPr>
        <w:t xml:space="preserve"> оценки эффективности управления имуществом, переданного на праве хозяйственного ведения муниципальным унитарным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предприятиям (далее - МУП)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3403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Использование имущества, переданного на праве хозяйственного ведения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по целевому назначению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МУП использует переданное на праве хозяйственного ведения имущество по целевому назначению;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МУП использует переданное на праве хозяйственного ведения имущество не по целевому назначению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документов, подтверждающих проведение технической инвентаризации на объекты, переданные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 имеет документы, подтверждающие проведение технической инвентаризации: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переданные ему объекты;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 о зарегистрированных правах на закрепленные за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МУПом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объекты капитального строительства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 имеет документы, свидетельствующие о регистрации прав: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объекты капитального строительства;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14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правоустанавливающих документов на земельные участки, используемые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МУПом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Имеет правоустанавливающие документы: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земельные участки;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630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vMerge w:val="restart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Проведение предприятием мер по сохранности закрепленного за ним имущества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предприятием проведены меры по сохранности закрепленного за ним имущества;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885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предприятием не проведены меры по сохранности закрепленного за ним имущества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5"/>
        </w:trPr>
        <w:tc>
          <w:tcPr>
            <w:tcW w:w="9345" w:type="dxa"/>
            <w:gridSpan w:val="4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235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Выручка от реализации товаров (продукции, работ, услуг)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динамика выручки по сравнению с прошлым годом (код строки 2110,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50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00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Себестоимость товаров (продукции, работ, услуг)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динамика себестоимости по сравнению с прошлым годом (код строки 2120,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97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Просроченная кредиторская задолженность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просроченной кредиторской задолженности 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Просроченная дебиторская задолженность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отсутствие просроченной дебиторской задолженности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Чистая прибыль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случае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положительной величины чистой прибыли динамика прибыли по сравнению с прошлым годом (код строки 2400,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Отчисления в бюджет городского округа части прибыли МУП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перечислена;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перечислена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Чистые активы (расчет по бухгалтерскому балансу)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58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Коэффициент текущей ликвидности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определяется как отношение оборотных активов к краткосрочным обязательствам (код строки 1200/ (код строки 1510 + код строки 1520 + код строки 1550), форма № 1 «Бухгалтерский баланс»):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2,0;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2,0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определяется как отношение собственных оборотных сре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дств к т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екущим активам (код строки 1300 + код строки 1530 + код строки 1540 – код строки 1100) / код строки 1200, форма № 1 «Бухгалтерский баланс»):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0,1;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0,1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затрат, направленная на приобретение имущества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затрат, направленная на ремонт имущества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Задолженность по арендной плате за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использование земельных участков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 xml:space="preserve">- отсутствие просроченной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дебиторской задолженности 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rPr>
          <w:rFonts w:ascii="Liberation Serif" w:hAnsi="Liberation Serif"/>
        </w:rPr>
      </w:pPr>
    </w:p>
    <w:p w:rsidR="00C544C5" w:rsidRPr="00C544C5" w:rsidRDefault="00C544C5" w:rsidP="00C544C5">
      <w:pPr>
        <w:contextualSpacing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Таблица 1</w:t>
      </w: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Справочная таблица для расчета критериев</w:t>
      </w:r>
      <w:r w:rsidRPr="00C544C5">
        <w:rPr>
          <w:rFonts w:ascii="Calibri" w:eastAsia="Calibri" w:hAnsi="Calibri"/>
          <w:lang w:eastAsia="en-US"/>
        </w:rPr>
        <w:t xml:space="preserve"> </w:t>
      </w:r>
      <w:r w:rsidRPr="00C544C5">
        <w:rPr>
          <w:rFonts w:ascii="Liberation Serif" w:eastAsia="Calibri" w:hAnsi="Liberation Serif"/>
          <w:lang w:eastAsia="en-US"/>
        </w:rPr>
        <w:t xml:space="preserve">оценки эффективности управления имуществом, переданного на праве хозяйственного ведения </w:t>
      </w:r>
      <w:proofErr w:type="spellStart"/>
      <w:r w:rsidRPr="00C544C5">
        <w:rPr>
          <w:rFonts w:ascii="Liberation Serif" w:eastAsia="Calibri" w:hAnsi="Liberation Serif"/>
          <w:lang w:eastAsia="en-US"/>
        </w:rPr>
        <w:t>МУПам</w:t>
      </w:r>
      <w:proofErr w:type="spellEnd"/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561"/>
        <w:gridCol w:w="4800"/>
        <w:gridCol w:w="1131"/>
        <w:gridCol w:w="1583"/>
        <w:gridCol w:w="1276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Отчетный период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Балансовая стоимость имущества, переданного на праве хозяйственного ведения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Бюджетная эффективность МУП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Оборачиваемость муниципального имущества, переданного на праве хозяйственного ведения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Количество объектов недвижимости, в том числе: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здания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помещения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строения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сооружения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Общая площадь объектов недвижимости, в том числе: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переданная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 аренду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Количество объектов движимого имущества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Балансовая стоимость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Непроизводственные активы (земельные участки)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земельных участков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Количество земельных участков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 МУП, направленная на приобретение имущества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 МУП, направленная на ремонт имущества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денежных средств, поступившая от сдачи в аренду недвижимого имущества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Материальные запасы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Приложение № 3</w:t>
      </w:r>
    </w:p>
    <w:p w:rsidR="00C544C5" w:rsidRPr="00C544C5" w:rsidRDefault="00C544C5" w:rsidP="00C544C5">
      <w:pPr>
        <w:contextualSpacing/>
        <w:jc w:val="right"/>
        <w:outlineLvl w:val="1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к Порядку</w:t>
      </w:r>
    </w:p>
    <w:p w:rsidR="00C544C5" w:rsidRPr="00C544C5" w:rsidRDefault="00C544C5" w:rsidP="00C544C5">
      <w:pPr>
        <w:contextualSpacing/>
        <w:jc w:val="right"/>
        <w:outlineLvl w:val="1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Форма 2</w:t>
      </w: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Показатели оценки эффективности управления имуществом, переданного на праве оперативного управления муниципальным учреждениям (далее – учреждениям)</w:t>
      </w: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3403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Использование имущества, переданного на праве оперативного управления учреждениям, по целевому назначению, в том числе земельного участка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 использует переданное на праве оперативного управления имущество по целевому назначению;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 использует переданное на праве оперативного управления имущество не по целевому назначению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77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Проведение учреждением мер по сохранности переданного ему имущества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учреждением проведены меры по сохранности переданного ему имущества;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учреждением не проведены меры по сохранности переданного ему имущества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правоустанавливающих документов на земельные участки, используемые учреждением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учреждение имеет правоустанавливающие документы: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земельные участки;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 о зарегистрированных правах на объекты капитального строительства, закрепленные за учреждением 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учреждение имеет документы, свидетельствующие о регистрации прав: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объекты капитального строительства;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8"/>
        </w:trPr>
        <w:tc>
          <w:tcPr>
            <w:tcW w:w="93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55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5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Объем расходов на содержание имущества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Объем поступлений от оказания платных услуг и осуществления иной приносящей доход деятельности учреждениями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556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0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Отзывы потребителей о деятельности учреждения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жалоб потребителей;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количество жалоб потребителей и принятые по результатам их рассмотрения меры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8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количество жалоб потребителей, большее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lastRenderedPageBreak/>
        <w:t>Таблица 2</w:t>
      </w: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Справочная таблица для расчета критериев</w:t>
      </w:r>
      <w:r w:rsidRPr="00C544C5">
        <w:rPr>
          <w:rFonts w:ascii="Calibri" w:eastAsia="Calibri" w:hAnsi="Calibri"/>
          <w:lang w:eastAsia="en-US"/>
        </w:rPr>
        <w:t xml:space="preserve"> </w:t>
      </w:r>
      <w:r w:rsidRPr="00C544C5">
        <w:rPr>
          <w:rFonts w:ascii="Liberation Serif" w:eastAsia="Calibri" w:hAnsi="Liberation Serif"/>
          <w:lang w:eastAsia="en-US"/>
        </w:rPr>
        <w:t>оценки эффективности управления имуществом, переданного на праве оперативного управления учреждениям</w:t>
      </w:r>
    </w:p>
    <w:tbl>
      <w:tblPr>
        <w:tblStyle w:val="10"/>
        <w:tblW w:w="9351" w:type="dxa"/>
        <w:tblLook w:val="04A0" w:firstRow="1" w:lastRow="0" w:firstColumn="1" w:lastColumn="0" w:noHBand="0" w:noVBand="1"/>
      </w:tblPr>
      <w:tblGrid>
        <w:gridCol w:w="561"/>
        <w:gridCol w:w="4800"/>
        <w:gridCol w:w="1131"/>
        <w:gridCol w:w="1583"/>
        <w:gridCol w:w="1276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Отчетный период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Общая площадь недвижимого имущества, переданного на праве оперативного управления муниципальным бюджетным, автономным учреждениям 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Площадь недвижимого имущества, используемого муниципальными бюджетными, автономными учреждениями для оказания платных услуг и осуществления иной приносящей доход деятельности 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недвижимого имущества, используемого муниципальными бюджетными, автономными учреждениями для оказания муниципальных услуг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Общая площадь недвижимого имущества, переданного на праве оперативного управления муниципальным казенным учреждениям 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недвижимого имущества, используемого муниципальными казенными учреждениями для оказания муниципальных услуг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Общая площадь объектов недвижимого имущества, в том числе: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Переданное</w:t>
            </w:r>
            <w:proofErr w:type="gramEnd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в аренду 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Переданное в безвозмездное пользование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Переданное</w:t>
            </w:r>
            <w:proofErr w:type="gramEnd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в аренду с почасовой оплатой и используемое учреждением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Переданное в безвозмездное пользование в </w:t>
            </w:r>
            <w:proofErr w:type="gramStart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с почасовым графиком и используемое учреждением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Неиспользуемое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земельных участков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кв.м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Количество земельных участков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Количество объектов недвижимого имущества, том числе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технической инвентаризации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зарегистрированных прав</w:t>
            </w:r>
          </w:p>
        </w:tc>
        <w:tc>
          <w:tcPr>
            <w:tcW w:w="1134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59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jc w:val="center"/>
        <w:outlineLvl w:val="1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Приложение № 4</w:t>
      </w:r>
    </w:p>
    <w:p w:rsidR="00C544C5" w:rsidRPr="00C544C5" w:rsidRDefault="00C544C5" w:rsidP="00C544C5">
      <w:pPr>
        <w:contextualSpacing/>
        <w:jc w:val="right"/>
        <w:outlineLvl w:val="1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к Порядку</w:t>
      </w: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Форма 3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Показатели оценки эффективности управления имуществом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муниципальной казны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685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8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регистрации прав муниципальной собственности на объекты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Право муниципальной собственности зарегистрировано: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помещения (здания);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90% - 99%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80% - 89%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70% - 79%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60% - 69%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7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60% помещений (зданий)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7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документов о государственной регистрации прав муниципальной собственности на земельные участки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Право муниципальной собственности зарегистрировано: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земельные участки;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65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3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не используемых иных объектов муниципального имущества (здания, строения, сооружения), находящихся в муниципальной казне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земель, находящихся в муниципальной казне, переданных в пользование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41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Дебиторская задолженность по договорам аренды муниципального имущества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2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1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</w:tbl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УТВЕРЖДЕНЫ</w:t>
      </w: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 xml:space="preserve">постановлением администрации городского округа Верхняя Пышма </w:t>
      </w: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от _________________ № ________</w:t>
      </w:r>
    </w:p>
    <w:p w:rsidR="00C544C5" w:rsidRPr="00C544C5" w:rsidRDefault="00C544C5" w:rsidP="00C544C5">
      <w:pPr>
        <w:spacing w:after="160" w:line="259" w:lineRule="auto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spacing w:after="160" w:line="259" w:lineRule="auto"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Форма 1</w:t>
      </w: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b/>
          <w:lang w:eastAsia="en-US"/>
        </w:rPr>
      </w:pPr>
      <w:r w:rsidRPr="00C544C5">
        <w:rPr>
          <w:rFonts w:ascii="Liberation Serif" w:eastAsia="Calibri" w:hAnsi="Liberation Serif"/>
          <w:b/>
          <w:lang w:eastAsia="en-US"/>
        </w:rPr>
        <w:t>Критерии оценки эффективности использования муниципального имущества, находящегося в собственности городского округа Верхняя Пышма</w:t>
      </w:r>
    </w:p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b/>
          <w:lang w:eastAsia="en-US"/>
        </w:rPr>
      </w:pPr>
    </w:p>
    <w:p w:rsidR="00C544C5" w:rsidRPr="00C544C5" w:rsidRDefault="00C544C5" w:rsidP="00C544C5">
      <w:pPr>
        <w:contextualSpacing/>
        <w:jc w:val="center"/>
        <w:outlineLvl w:val="1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Критерии оценки эффективности управления имуществом, переданного на праве хозяйственного ведения муниципальным унитарным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предприятиям (далее - МУП)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3685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Использование имущества, переданного на праве хозяйственного ведения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по целевому назначению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МУП использует переданное на праве хозяйственного ведения имущество по целевому назначению;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МУП использует переданное на праве хозяйственного ведения имущество не по целевому назначению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документов, подтверждающих проведение технической инвентаризации на объекты, переданные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МУПам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 имеет документы, подтверждающие проведение технической инвентаризации: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переданные ему объекты;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 о зарегистрированных правах на закрепленные за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МУПом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объекты капитального строительства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 имеет документы, свидетельствующие о регистрации прав: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объекты капитального строительства;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1014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правоустанавливающих документов на земельные участки, используемые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МУПом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Имеет правоустанавливающие документы: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земельные участки;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630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Проведение предприятием мер по сохранности закрепленного за ним имущества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предприятием проведены меры по сохранности закрепленного за ним имущества;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885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предприятием не проведены меры по сохранности закрепленного за ним имущества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415"/>
        </w:trPr>
        <w:tc>
          <w:tcPr>
            <w:tcW w:w="9345" w:type="dxa"/>
            <w:gridSpan w:val="4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235"/>
        </w:trPr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Выручка от реализации товаров (продукции, работ, услуг)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динамика выручки по сравнению с прошлым годом (код строки 2110,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41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300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Себестоимость товаров (продукции, работ, услуг)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динамика себестоимости по сравнению с прошлым годом (код строки 2120,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297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Просроченная кредиторская задолженность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просроченной кредиторской задолженности 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Просроченная дебиторская задолженность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просроченной дебиторской задолженности 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общая сумма задолженности на уровне предыдущего отчетного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 задолженности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Чистая прибыль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случае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положительной величины чистой прибыли динамика прибыли по сравнению с прошлым годом (код строки 2400, форма №2 «Отчет о финансовых результатах»):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Отчисления в бюджет городского округа части прибыли МУП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перечислена;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перечислена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Чистые активы (расчет по бухгалтерскому балансу)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58"/>
        </w:trPr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Коэффициент текущей ликвидности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определяется как отношение оборотных активов к краткосрочным обязательствам (код строки 1200/ (код строки 1510 + код строки 1520 + код строки 1550), форма № 1 «Бухгалтерский баланс»):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2,0;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2,0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определяется как отношение собственных оборотных сре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дств к т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екущим активам (код строки 1300 + код строки 1530 + код строки 1540 – код строки 1100) / код строки 1200, форма № 1 «Бухгалтерский баланс»):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0,1;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0,1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затрат, направленная на приобретение имущества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Сумма затрат, направленная на ремонт имущества</w:t>
            </w: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c>
          <w:tcPr>
            <w:tcW w:w="562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28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Задолженность по арендной плате за использование земельных участков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просроченной дебиторской задолженности (далее - задолженность);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общая сумма задолженности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c>
          <w:tcPr>
            <w:tcW w:w="562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увеличение задолженности по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-5</w:t>
            </w:r>
          </w:p>
        </w:tc>
      </w:tr>
    </w:tbl>
    <w:p w:rsidR="00C544C5" w:rsidRPr="00C544C5" w:rsidRDefault="00C544C5" w:rsidP="00C544C5">
      <w:pPr>
        <w:contextualSpacing/>
        <w:jc w:val="center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  <w:r w:rsidRPr="00C544C5">
        <w:rPr>
          <w:rFonts w:ascii="Liberation Serif" w:eastAsia="Calibri" w:hAnsi="Liberation Serif"/>
          <w:lang w:eastAsia="en-US"/>
        </w:rPr>
        <w:t>Форма 2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Критерии оценки эффективности управления имуществом, переданного на праве оперативного управления муниципальным учреждениям 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(далее – учреждениям)</w:t>
      </w: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562"/>
        <w:gridCol w:w="3969"/>
        <w:gridCol w:w="3544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69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544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Использование имущества, переданного на праве оперативного управления учреждениям, по целевому назначению, в том числе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 использует переданное на праве оперативного управления имущество по целевому назначению;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 использует переданное на праве оперативного управления имущество не по целевому назначению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77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Проведение учреждением мер по сохранности переданного ему имущества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учреждением проведены меры по сохранности переданного ему имущества;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83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учреждением не проведены меры по сохранности переданного ему имущества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правоустанавливающих документов на земельные участки, используемые учреждением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учреждение имеет правоустанавливающие документы: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закрепленные за ним земельные участки;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28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rPr>
          <w:trHeight w:val="2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rPr>
          <w:trHeight w:val="22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rPr>
          <w:trHeight w:val="2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Наличие документов о зарегистрированных правах на объекты капитального строительства, закрепленные за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 xml:space="preserve">учреждением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учреждение имеет документы, свидетельствующие о регистрации прав:</w:t>
            </w:r>
          </w:p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на все закрепленные за ним 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объекты капитального строительства;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bottom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C544C5" w:rsidRPr="00C544C5" w:rsidTr="00893FA8">
        <w:trPr>
          <w:trHeight w:val="2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rPr>
          <w:trHeight w:val="2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rPr>
          <w:trHeight w:val="2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объектов;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rPr>
          <w:trHeight w:val="26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объектов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418"/>
        </w:trPr>
        <w:tc>
          <w:tcPr>
            <w:tcW w:w="93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429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Балансовая (остаточная) стоимость нефинансовых активов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5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26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28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Объем расходов на содержание имущества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18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328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Объем поступлений от оказания платных услуг и осуществления иной приносящей доход деятельности учреждениями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4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3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28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5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2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27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69" w:type="dxa"/>
            <w:vMerge w:val="restart"/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Отзывы потребителей о деятельности учреждения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отсутствие жалоб потребителей;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10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количество жалоб потребителей и принятые по результатам их рассмотрения меры на уровне предыдущего отчетного года;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8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количество жалоб потребителей, большее по сравнению с предыдущим отчетным годом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</w:tbl>
    <w:p w:rsidR="00C544C5" w:rsidRPr="00C544C5" w:rsidRDefault="00C544C5" w:rsidP="00C544C5">
      <w:pPr>
        <w:contextualSpacing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rPr>
          <w:rFonts w:ascii="Liberation Serif" w:hAnsi="Liberation Serif"/>
        </w:rPr>
      </w:pPr>
      <w:r w:rsidRPr="00C544C5">
        <w:rPr>
          <w:rFonts w:ascii="Liberation Serif" w:eastAsia="Calibri" w:hAnsi="Liberation Serif"/>
          <w:lang w:eastAsia="en-US"/>
        </w:rPr>
        <w:t>Форма 3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>Критерии оценки эффективности управления имуществом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  <w:r w:rsidRPr="00C544C5">
        <w:rPr>
          <w:rFonts w:ascii="Liberation Serif" w:hAnsi="Liberation Serif"/>
        </w:rPr>
        <w:t xml:space="preserve"> муниципальной казны</w:t>
      </w:r>
    </w:p>
    <w:p w:rsidR="00C544C5" w:rsidRPr="00C544C5" w:rsidRDefault="00C544C5" w:rsidP="00C544C5">
      <w:pPr>
        <w:contextualSpacing/>
        <w:jc w:val="center"/>
        <w:rPr>
          <w:rFonts w:ascii="Liberation Serif" w:hAnsi="Liberation Serif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827"/>
        <w:gridCol w:w="1270"/>
      </w:tblGrid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6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Критерии оценки эффективности</w:t>
            </w:r>
          </w:p>
        </w:tc>
        <w:tc>
          <w:tcPr>
            <w:tcW w:w="3827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Значение критерия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Оценка критериев (в </w:t>
            </w:r>
            <w:proofErr w:type="gram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баллах</w:t>
            </w:r>
            <w:proofErr w:type="gram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)</w:t>
            </w:r>
          </w:p>
        </w:tc>
      </w:tr>
      <w:tr w:rsidR="00C544C5" w:rsidRPr="00C544C5" w:rsidTr="00893FA8">
        <w:tc>
          <w:tcPr>
            <w:tcW w:w="562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558"/>
        </w:trPr>
        <w:tc>
          <w:tcPr>
            <w:tcW w:w="9345" w:type="dxa"/>
            <w:gridSpan w:val="4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</w:t>
            </w: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Качественные критерии</w:t>
            </w:r>
          </w:p>
        </w:tc>
      </w:tr>
      <w:tr w:rsidR="00C544C5" w:rsidRPr="00C544C5" w:rsidTr="00893FA8">
        <w:trPr>
          <w:trHeight w:val="8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регистрации прав муниципальной собственности на объекты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Право муниципальной собственности зарегистрировано: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помещения (здания);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90% - 99%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2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80% - 89%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70% - 79%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60% - 69% помещений (зданий);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rPr>
          <w:trHeight w:val="27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не менее 60% помещений (зданий)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7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Наличие документов о государственной регистрации прав муниципальной собственности на земельные участки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Право муниципальной собственности зарегистрировано:</w:t>
            </w:r>
          </w:p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все земельные участки;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- 90% - 99%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</w:tr>
      <w:tr w:rsidR="00C544C5" w:rsidRPr="00C544C5" w:rsidTr="00893FA8">
        <w:trPr>
          <w:trHeight w:val="2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- 80% - 89%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</w:tr>
      <w:tr w:rsidR="00C544C5" w:rsidRPr="00C544C5" w:rsidTr="00893FA8">
        <w:trPr>
          <w:trHeight w:val="2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- 70% - 79%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</w:t>
            </w:r>
          </w:p>
        </w:tc>
      </w:tr>
      <w:tr w:rsidR="00C544C5" w:rsidRPr="00C544C5" w:rsidTr="00893FA8">
        <w:trPr>
          <w:trHeight w:val="2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- 60% - 69% земельных участков;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</w:t>
            </w:r>
          </w:p>
        </w:tc>
      </w:tr>
      <w:tr w:rsidR="00C544C5" w:rsidRPr="00C544C5" w:rsidTr="00893FA8">
        <w:trPr>
          <w:trHeight w:val="27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менее 60% земельных участков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465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I </w:t>
            </w:r>
            <w:proofErr w:type="spellStart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I</w:t>
            </w:r>
            <w:proofErr w:type="spellEnd"/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 Количественные критерии</w:t>
            </w:r>
          </w:p>
        </w:tc>
      </w:tr>
      <w:tr w:rsidR="00C544C5" w:rsidRPr="00C544C5" w:rsidTr="00893FA8">
        <w:trPr>
          <w:trHeight w:val="22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не используемых иных объектов муниципального имущества (здания, строения, сооружения), находящихся в муниципальной казне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38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31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3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Площадь земель, находящихся в муниципальной казне, переданных в пользование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4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</w:tc>
      </w:tr>
      <w:tr w:rsidR="00C544C5" w:rsidRPr="00C544C5" w:rsidTr="00893FA8">
        <w:trPr>
          <w:trHeight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  <w:tr w:rsidR="00C544C5" w:rsidRPr="00C544C5" w:rsidTr="00893FA8">
        <w:trPr>
          <w:trHeight w:val="41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Дебиторская задолженность по договорам аренды муниципального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уменьшение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5</w:t>
            </w:r>
          </w:p>
        </w:tc>
      </w:tr>
      <w:tr w:rsidR="00C544C5" w:rsidRPr="00C544C5" w:rsidTr="00893FA8">
        <w:trPr>
          <w:trHeight w:val="2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на уровне прошлого года;</w:t>
            </w:r>
          </w:p>
        </w:tc>
        <w:tc>
          <w:tcPr>
            <w:tcW w:w="1270" w:type="dxa"/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</w:t>
            </w:r>
          </w:p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</w:tr>
      <w:tr w:rsidR="00C544C5" w:rsidRPr="00C544C5" w:rsidTr="00893FA8">
        <w:trPr>
          <w:trHeight w:val="31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увеличение;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544C5" w:rsidRPr="00C544C5" w:rsidRDefault="00C544C5" w:rsidP="00C544C5">
            <w:pPr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C544C5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-5</w:t>
            </w:r>
          </w:p>
        </w:tc>
      </w:tr>
    </w:tbl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Pr="00C544C5" w:rsidRDefault="00C544C5" w:rsidP="00C544C5">
      <w:pPr>
        <w:contextualSpacing/>
        <w:jc w:val="right"/>
        <w:rPr>
          <w:rFonts w:ascii="Liberation Serif" w:eastAsia="Calibri" w:hAnsi="Liberation Serif"/>
          <w:lang w:eastAsia="en-US"/>
        </w:rPr>
      </w:pPr>
    </w:p>
    <w:p w:rsidR="00C544C5" w:rsidRDefault="00C544C5"/>
    <w:sectPr w:rsidR="00C544C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44" w:rsidRDefault="004C0744" w:rsidP="00C544C5">
      <w:r>
        <w:separator/>
      </w:r>
    </w:p>
  </w:endnote>
  <w:endnote w:type="continuationSeparator" w:id="0">
    <w:p w:rsidR="004C0744" w:rsidRDefault="004C0744" w:rsidP="00C5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44" w:rsidRDefault="004C0744" w:rsidP="00C544C5">
      <w:r>
        <w:separator/>
      </w:r>
    </w:p>
  </w:footnote>
  <w:footnote w:type="continuationSeparator" w:id="0">
    <w:p w:rsidR="004C0744" w:rsidRDefault="004C0744" w:rsidP="00C5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C5" w:rsidRDefault="00C544C5">
    <w:pPr>
      <w:pStyle w:val="a3"/>
    </w:pPr>
  </w:p>
  <w:p w:rsidR="00C544C5" w:rsidRDefault="00C544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0BB"/>
    <w:multiLevelType w:val="hybridMultilevel"/>
    <w:tmpl w:val="B06CAC5E"/>
    <w:lvl w:ilvl="0" w:tplc="1A56B018">
      <w:start w:val="1"/>
      <w:numFmt w:val="russianLower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>
    <w:nsid w:val="06546B11"/>
    <w:multiLevelType w:val="multilevel"/>
    <w:tmpl w:val="95E2AD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9574CC"/>
    <w:multiLevelType w:val="multilevel"/>
    <w:tmpl w:val="0B622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547D61"/>
    <w:multiLevelType w:val="multilevel"/>
    <w:tmpl w:val="9CA860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20C6A63"/>
    <w:multiLevelType w:val="multilevel"/>
    <w:tmpl w:val="3A727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5F8632B"/>
    <w:multiLevelType w:val="hybridMultilevel"/>
    <w:tmpl w:val="970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97561"/>
    <w:multiLevelType w:val="multilevel"/>
    <w:tmpl w:val="AE301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F8D4C13"/>
    <w:multiLevelType w:val="hybridMultilevel"/>
    <w:tmpl w:val="50202BA4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553C9"/>
    <w:multiLevelType w:val="multilevel"/>
    <w:tmpl w:val="FDF0626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EE32AD"/>
    <w:multiLevelType w:val="hybridMultilevel"/>
    <w:tmpl w:val="AF560350"/>
    <w:lvl w:ilvl="0" w:tplc="1A56B01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9407E"/>
    <w:multiLevelType w:val="multilevel"/>
    <w:tmpl w:val="D50CAF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F0B3A51"/>
    <w:multiLevelType w:val="multilevel"/>
    <w:tmpl w:val="D50CAF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4EE1F56"/>
    <w:multiLevelType w:val="multilevel"/>
    <w:tmpl w:val="D50CAF7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7A71CED"/>
    <w:multiLevelType w:val="multilevel"/>
    <w:tmpl w:val="C14AB3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AF01277"/>
    <w:multiLevelType w:val="multilevel"/>
    <w:tmpl w:val="3ADA21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FE82C63"/>
    <w:multiLevelType w:val="hybridMultilevel"/>
    <w:tmpl w:val="F6D63790"/>
    <w:lvl w:ilvl="0" w:tplc="1A56B018">
      <w:start w:val="1"/>
      <w:numFmt w:val="russianLower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C5"/>
    <w:rsid w:val="004C0744"/>
    <w:rsid w:val="006E1190"/>
    <w:rsid w:val="00C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C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4C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54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4C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4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4C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544C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44C5"/>
  </w:style>
  <w:style w:type="table" w:customStyle="1" w:styleId="10">
    <w:name w:val="Сетка таблицы1"/>
    <w:basedOn w:val="a1"/>
    <w:next w:val="a9"/>
    <w:uiPriority w:val="39"/>
    <w:rsid w:val="00C544C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next w:val="aa"/>
    <w:uiPriority w:val="34"/>
    <w:qFormat/>
    <w:rsid w:val="00C544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54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54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onsPlusCell">
    <w:name w:val="ConsPlusCell"/>
    <w:rsid w:val="00C54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44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4C5"/>
    <w:rPr>
      <w:sz w:val="16"/>
      <w:szCs w:val="16"/>
    </w:rPr>
  </w:style>
  <w:style w:type="paragraph" w:customStyle="1" w:styleId="12">
    <w:name w:val="Текст примечания1"/>
    <w:basedOn w:val="a"/>
    <w:next w:val="ac"/>
    <w:link w:val="ad"/>
    <w:uiPriority w:val="99"/>
    <w:semiHidden/>
    <w:unhideWhenUsed/>
    <w:rsid w:val="00C544C5"/>
    <w:pPr>
      <w:spacing w:after="160"/>
    </w:pPr>
    <w:rPr>
      <w:rFonts w:ascii="Liberation Serif" w:eastAsia="Calibri" w:hAnsi="Liberation Serif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12"/>
    <w:uiPriority w:val="99"/>
    <w:semiHidden/>
    <w:rsid w:val="00C544C5"/>
    <w:rPr>
      <w:sz w:val="20"/>
      <w:szCs w:val="20"/>
    </w:rPr>
  </w:style>
  <w:style w:type="paragraph" w:customStyle="1" w:styleId="13">
    <w:name w:val="Тема примечания1"/>
    <w:basedOn w:val="ac"/>
    <w:next w:val="ac"/>
    <w:uiPriority w:val="99"/>
    <w:semiHidden/>
    <w:unhideWhenUsed/>
    <w:rsid w:val="00C544C5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544C5"/>
    <w:rPr>
      <w:b/>
      <w:bCs/>
      <w:sz w:val="20"/>
      <w:szCs w:val="20"/>
    </w:rPr>
  </w:style>
  <w:style w:type="table" w:styleId="a9">
    <w:name w:val="Table Grid"/>
    <w:basedOn w:val="a1"/>
    <w:uiPriority w:val="59"/>
    <w:rsid w:val="00C5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544C5"/>
    <w:pPr>
      <w:ind w:left="720"/>
      <w:contextualSpacing/>
    </w:pPr>
  </w:style>
  <w:style w:type="paragraph" w:styleId="ac">
    <w:name w:val="annotation text"/>
    <w:basedOn w:val="a"/>
    <w:link w:val="14"/>
    <w:uiPriority w:val="99"/>
    <w:semiHidden/>
    <w:unhideWhenUsed/>
    <w:rsid w:val="00C544C5"/>
    <w:rPr>
      <w:sz w:val="20"/>
      <w:szCs w:val="20"/>
    </w:rPr>
  </w:style>
  <w:style w:type="character" w:customStyle="1" w:styleId="14">
    <w:name w:val="Текст примечания Знак1"/>
    <w:basedOn w:val="a0"/>
    <w:link w:val="ac"/>
    <w:uiPriority w:val="99"/>
    <w:semiHidden/>
    <w:rsid w:val="00C544C5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544C5"/>
    <w:rPr>
      <w:rFonts w:ascii="Liberation Serif" w:eastAsia="Calibri" w:hAnsi="Liberation Serif"/>
      <w:b/>
      <w:bCs/>
      <w:lang w:eastAsia="en-US"/>
    </w:rPr>
  </w:style>
  <w:style w:type="character" w:customStyle="1" w:styleId="15">
    <w:name w:val="Тема примечания Знак1"/>
    <w:basedOn w:val="14"/>
    <w:link w:val="af"/>
    <w:uiPriority w:val="99"/>
    <w:semiHidden/>
    <w:rsid w:val="00C544C5"/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C5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4C5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C54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4C5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4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4C5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C544C5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44C5"/>
  </w:style>
  <w:style w:type="table" w:customStyle="1" w:styleId="10">
    <w:name w:val="Сетка таблицы1"/>
    <w:basedOn w:val="a1"/>
    <w:next w:val="a9"/>
    <w:uiPriority w:val="39"/>
    <w:rsid w:val="00C544C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next w:val="aa"/>
    <w:uiPriority w:val="34"/>
    <w:qFormat/>
    <w:rsid w:val="00C544C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54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C54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onsPlusCell">
    <w:name w:val="ConsPlusCell"/>
    <w:rsid w:val="00C544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44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C544C5"/>
    <w:rPr>
      <w:sz w:val="16"/>
      <w:szCs w:val="16"/>
    </w:rPr>
  </w:style>
  <w:style w:type="paragraph" w:customStyle="1" w:styleId="12">
    <w:name w:val="Текст примечания1"/>
    <w:basedOn w:val="a"/>
    <w:next w:val="ac"/>
    <w:link w:val="ad"/>
    <w:uiPriority w:val="99"/>
    <w:semiHidden/>
    <w:unhideWhenUsed/>
    <w:rsid w:val="00C544C5"/>
    <w:pPr>
      <w:spacing w:after="160"/>
    </w:pPr>
    <w:rPr>
      <w:rFonts w:ascii="Liberation Serif" w:eastAsia="Calibri" w:hAnsi="Liberation Serif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12"/>
    <w:uiPriority w:val="99"/>
    <w:semiHidden/>
    <w:rsid w:val="00C544C5"/>
    <w:rPr>
      <w:sz w:val="20"/>
      <w:szCs w:val="20"/>
    </w:rPr>
  </w:style>
  <w:style w:type="paragraph" w:customStyle="1" w:styleId="13">
    <w:name w:val="Тема примечания1"/>
    <w:basedOn w:val="ac"/>
    <w:next w:val="ac"/>
    <w:uiPriority w:val="99"/>
    <w:semiHidden/>
    <w:unhideWhenUsed/>
    <w:rsid w:val="00C544C5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544C5"/>
    <w:rPr>
      <w:b/>
      <w:bCs/>
      <w:sz w:val="20"/>
      <w:szCs w:val="20"/>
    </w:rPr>
  </w:style>
  <w:style w:type="table" w:styleId="a9">
    <w:name w:val="Table Grid"/>
    <w:basedOn w:val="a1"/>
    <w:uiPriority w:val="59"/>
    <w:rsid w:val="00C54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544C5"/>
    <w:pPr>
      <w:ind w:left="720"/>
      <w:contextualSpacing/>
    </w:pPr>
  </w:style>
  <w:style w:type="paragraph" w:styleId="ac">
    <w:name w:val="annotation text"/>
    <w:basedOn w:val="a"/>
    <w:link w:val="14"/>
    <w:uiPriority w:val="99"/>
    <w:semiHidden/>
    <w:unhideWhenUsed/>
    <w:rsid w:val="00C544C5"/>
    <w:rPr>
      <w:sz w:val="20"/>
      <w:szCs w:val="20"/>
    </w:rPr>
  </w:style>
  <w:style w:type="character" w:customStyle="1" w:styleId="14">
    <w:name w:val="Текст примечания Знак1"/>
    <w:basedOn w:val="a0"/>
    <w:link w:val="ac"/>
    <w:uiPriority w:val="99"/>
    <w:semiHidden/>
    <w:rsid w:val="00C544C5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544C5"/>
    <w:rPr>
      <w:rFonts w:ascii="Liberation Serif" w:eastAsia="Calibri" w:hAnsi="Liberation Serif"/>
      <w:b/>
      <w:bCs/>
      <w:lang w:eastAsia="en-US"/>
    </w:rPr>
  </w:style>
  <w:style w:type="character" w:customStyle="1" w:styleId="15">
    <w:name w:val="Тема примечания Знак1"/>
    <w:basedOn w:val="14"/>
    <w:link w:val="af"/>
    <w:uiPriority w:val="99"/>
    <w:semiHidden/>
    <w:rsid w:val="00C544C5"/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5497</Words>
  <Characters>31338</Characters>
  <Application>Microsoft Office Word</Application>
  <DocSecurity>0</DocSecurity>
  <Lines>261</Lines>
  <Paragraphs>73</Paragraphs>
  <ScaleCrop>false</ScaleCrop>
  <Company/>
  <LinksUpToDate>false</LinksUpToDate>
  <CharactersWithSpaces>36762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2019-04-02T13:33:00Z</dcterms:created>
  <dcterms:modified xsi:type="dcterms:W3CDTF">2019-04-02T13:34:00Z</dcterms:modified>
</cp:coreProperties>
</file>