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7264B" w:rsidRPr="0013051B" w:rsidTr="00EF297C">
        <w:trPr>
          <w:trHeight w:val="524"/>
        </w:trPr>
        <w:tc>
          <w:tcPr>
            <w:tcW w:w="9460" w:type="dxa"/>
            <w:gridSpan w:val="5"/>
          </w:tcPr>
          <w:p w:rsidR="0077264B" w:rsidRPr="0013051B" w:rsidRDefault="0077264B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7264B" w:rsidRPr="0013051B" w:rsidRDefault="0077264B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7264B" w:rsidRPr="0013051B" w:rsidRDefault="0077264B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7264B" w:rsidRPr="0013051B" w:rsidRDefault="0077264B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B259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A1C1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7264B" w:rsidRPr="0013051B" w:rsidTr="00EF297C">
        <w:trPr>
          <w:trHeight w:val="524"/>
        </w:trPr>
        <w:tc>
          <w:tcPr>
            <w:tcW w:w="284" w:type="dxa"/>
            <w:vAlign w:val="bottom"/>
          </w:tcPr>
          <w:p w:rsidR="0077264B" w:rsidRPr="0013051B" w:rsidRDefault="0077264B" w:rsidP="00EF297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7264B" w:rsidRPr="0013051B" w:rsidRDefault="0077264B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7264B" w:rsidRPr="0013051B" w:rsidRDefault="0077264B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7264B" w:rsidRPr="0013051B" w:rsidRDefault="0077264B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7264B" w:rsidRPr="0013051B" w:rsidRDefault="0077264B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7264B" w:rsidRPr="0013051B" w:rsidTr="00EF297C">
        <w:trPr>
          <w:trHeight w:val="130"/>
        </w:trPr>
        <w:tc>
          <w:tcPr>
            <w:tcW w:w="9460" w:type="dxa"/>
            <w:gridSpan w:val="5"/>
          </w:tcPr>
          <w:p w:rsidR="0077264B" w:rsidRPr="0013051B" w:rsidRDefault="0077264B" w:rsidP="00EF297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7264B" w:rsidRPr="0013051B" w:rsidTr="00EF297C">
        <w:tc>
          <w:tcPr>
            <w:tcW w:w="9460" w:type="dxa"/>
            <w:gridSpan w:val="5"/>
          </w:tcPr>
          <w:p w:rsidR="0077264B" w:rsidRPr="0013051B" w:rsidRDefault="0077264B" w:rsidP="00EF297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7264B" w:rsidRPr="0013051B" w:rsidRDefault="0077264B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7264B" w:rsidRPr="0013051B" w:rsidRDefault="0077264B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7264B" w:rsidRPr="0013051B" w:rsidTr="00EF297C">
        <w:tc>
          <w:tcPr>
            <w:tcW w:w="9460" w:type="dxa"/>
            <w:gridSpan w:val="5"/>
          </w:tcPr>
          <w:p w:rsidR="0077264B" w:rsidRPr="0013051B" w:rsidRDefault="0077264B" w:rsidP="00EF297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</w:t>
            </w:r>
          </w:p>
        </w:tc>
      </w:tr>
      <w:tr w:rsidR="0077264B" w:rsidRPr="0013051B" w:rsidTr="00EF297C">
        <w:tc>
          <w:tcPr>
            <w:tcW w:w="9460" w:type="dxa"/>
            <w:gridSpan w:val="5"/>
          </w:tcPr>
          <w:p w:rsidR="0077264B" w:rsidRPr="0013051B" w:rsidRDefault="0077264B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7264B" w:rsidRPr="0013051B" w:rsidRDefault="0077264B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7264B" w:rsidRDefault="0077264B" w:rsidP="0077264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92C2C"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492C2C">
        <w:rPr>
          <w:rFonts w:ascii="Liberation Serif" w:hAnsi="Liberation Serif"/>
          <w:sz w:val="28"/>
          <w:szCs w:val="28"/>
        </w:rPr>
        <w:t>от </w:t>
      </w:r>
      <w:r>
        <w:rPr>
          <w:rFonts w:ascii="Liberation Serif" w:hAnsi="Liberation Serif"/>
          <w:sz w:val="28"/>
          <w:szCs w:val="28"/>
        </w:rPr>
        <w:t>21.12.</w:t>
      </w:r>
      <w:r w:rsidRPr="00492C2C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 xml:space="preserve">3 </w:t>
      </w:r>
      <w:r w:rsidRPr="00492C2C">
        <w:rPr>
          <w:rFonts w:ascii="Liberation Serif" w:hAnsi="Liberation Serif"/>
          <w:sz w:val="28"/>
          <w:szCs w:val="28"/>
        </w:rPr>
        <w:t>№</w:t>
      </w:r>
      <w:bookmarkStart w:id="0" w:name="_Hlk54633939"/>
      <w:r w:rsidRPr="00492C2C">
        <w:rPr>
          <w:rFonts w:ascii="Liberation Serif" w:hAnsi="Liberation Serif"/>
          <w:sz w:val="28"/>
          <w:szCs w:val="28"/>
        </w:rPr>
        <w:t> </w:t>
      </w:r>
      <w:bookmarkEnd w:id="0"/>
      <w:r w:rsidRPr="00492C2C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/2</w:t>
      </w:r>
      <w:r w:rsidRPr="00492C2C">
        <w:rPr>
          <w:rFonts w:ascii="Liberation Serif" w:hAnsi="Liberation Serif"/>
          <w:sz w:val="28"/>
          <w:szCs w:val="28"/>
        </w:rPr>
        <w:t xml:space="preserve"> «О бюджете городского округа Верхняя Пышма на 202</w:t>
      </w:r>
      <w:r>
        <w:rPr>
          <w:rFonts w:ascii="Liberation Serif" w:hAnsi="Liberation Serif"/>
          <w:sz w:val="28"/>
          <w:szCs w:val="28"/>
        </w:rPr>
        <w:t>4</w:t>
      </w:r>
      <w:r w:rsidRPr="00492C2C">
        <w:rPr>
          <w:rFonts w:ascii="Liberation Serif" w:hAnsi="Liberation Serif"/>
          <w:sz w:val="28"/>
          <w:szCs w:val="28"/>
        </w:rPr>
        <w:t> год и плановый период 202</w:t>
      </w:r>
      <w:r>
        <w:rPr>
          <w:rFonts w:ascii="Liberation Serif" w:hAnsi="Liberation Serif"/>
          <w:sz w:val="28"/>
          <w:szCs w:val="28"/>
        </w:rPr>
        <w:t>5</w:t>
      </w:r>
      <w:r w:rsidRPr="00492C2C">
        <w:rPr>
          <w:rFonts w:ascii="Liberation Serif" w:hAnsi="Liberation Serif"/>
          <w:sz w:val="28"/>
          <w:szCs w:val="28"/>
        </w:rPr>
        <w:t> и 202</w:t>
      </w:r>
      <w:r>
        <w:rPr>
          <w:rFonts w:ascii="Liberation Serif" w:hAnsi="Liberation Serif"/>
          <w:sz w:val="28"/>
          <w:szCs w:val="28"/>
        </w:rPr>
        <w:t>6</w:t>
      </w:r>
      <w:r w:rsidRPr="00492C2C">
        <w:rPr>
          <w:rFonts w:ascii="Liberation Serif" w:hAnsi="Liberation Serif"/>
          <w:sz w:val="28"/>
          <w:szCs w:val="28"/>
        </w:rPr>
        <w:t>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администрация городского округа Верхняя Пышма</w:t>
      </w:r>
    </w:p>
    <w:p w:rsidR="0077264B" w:rsidRPr="0013051B" w:rsidRDefault="0077264B" w:rsidP="0077264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7264B" w:rsidRPr="00492C2C" w:rsidRDefault="0077264B" w:rsidP="007726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492C2C">
        <w:rPr>
          <w:rFonts w:ascii="Liberation Serif" w:hAnsi="Liberation Serif"/>
          <w:sz w:val="28"/>
          <w:szCs w:val="28"/>
        </w:rPr>
        <w:t>Внести в муниципальную программу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12971">
        <w:rPr>
          <w:rFonts w:ascii="Liberation Serif" w:hAnsi="Liberation Serif"/>
          <w:sz w:val="28"/>
          <w:szCs w:val="28"/>
        </w:rPr>
        <w:t>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</w:t>
      </w:r>
      <w:r w:rsidRPr="00492C2C">
        <w:rPr>
          <w:rFonts w:ascii="Liberation Serif" w:hAnsi="Liberation Serif"/>
          <w:sz w:val="28"/>
          <w:szCs w:val="28"/>
        </w:rPr>
        <w:t xml:space="preserve"> (в ред. от </w:t>
      </w:r>
      <w:r>
        <w:rPr>
          <w:rFonts w:ascii="Liberation Serif" w:hAnsi="Liberation Serif"/>
          <w:sz w:val="28"/>
          <w:szCs w:val="28"/>
        </w:rPr>
        <w:t>22.01</w:t>
      </w:r>
      <w:r w:rsidRPr="00492C2C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4</w:t>
      </w:r>
      <w:r w:rsidRPr="00492C2C">
        <w:rPr>
          <w:rFonts w:ascii="Liberation Serif" w:hAnsi="Liberation Serif"/>
          <w:sz w:val="28"/>
          <w:szCs w:val="28"/>
        </w:rPr>
        <w:t xml:space="preserve">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12971">
        <w:rPr>
          <w:rFonts w:ascii="Liberation Serif" w:hAnsi="Liberation Serif"/>
          <w:sz w:val="28"/>
          <w:szCs w:val="28"/>
        </w:rPr>
        <w:t>46</w:t>
      </w:r>
      <w:r w:rsidRPr="00492C2C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,</w:t>
      </w:r>
      <w:r w:rsidRPr="00492C2C">
        <w:rPr>
          <w:rFonts w:ascii="Liberation Serif" w:hAnsi="Liberation Serif"/>
          <w:sz w:val="28"/>
          <w:szCs w:val="28"/>
        </w:rPr>
        <w:t xml:space="preserve"> (далее </w:t>
      </w:r>
      <w:r>
        <w:rPr>
          <w:rFonts w:ascii="Liberation Serif" w:hAnsi="Liberation Serif"/>
          <w:sz w:val="28"/>
          <w:szCs w:val="28"/>
        </w:rPr>
        <w:t>–</w:t>
      </w:r>
      <w:r w:rsidRPr="00492C2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муниципальная программа</w:t>
      </w:r>
      <w:r w:rsidRPr="00492C2C">
        <w:rPr>
          <w:rFonts w:ascii="Liberation Serif" w:hAnsi="Liberation Serif"/>
          <w:sz w:val="28"/>
          <w:szCs w:val="28"/>
        </w:rPr>
        <w:t>) следующие изменения:</w:t>
      </w:r>
    </w:p>
    <w:p w:rsidR="0077264B" w:rsidRDefault="0077264B" w:rsidP="007726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92C2C">
        <w:rPr>
          <w:rFonts w:ascii="Liberation Serif" w:hAnsi="Liberation Serif"/>
          <w:sz w:val="28"/>
          <w:szCs w:val="28"/>
        </w:rPr>
        <w:t xml:space="preserve">1) </w:t>
      </w:r>
      <w:r w:rsidRPr="00704B8C">
        <w:rPr>
          <w:rFonts w:ascii="Liberation Serif" w:hAnsi="Liberation Serif"/>
          <w:sz w:val="28"/>
          <w:szCs w:val="28"/>
        </w:rPr>
        <w:t xml:space="preserve">в паспорте Программы </w:t>
      </w:r>
      <w:r w:rsidRPr="00704B8C">
        <w:rPr>
          <w:rFonts w:ascii="Liberation Serif" w:hAnsi="Liberation Serif"/>
          <w:sz w:val="28"/>
          <w:szCs w:val="28"/>
          <w:lang w:val="en-US"/>
        </w:rPr>
        <w:t>c</w:t>
      </w:r>
      <w:r w:rsidRPr="00704B8C">
        <w:rPr>
          <w:rFonts w:ascii="Liberation Serif" w:hAnsi="Liberation Serif"/>
          <w:sz w:val="28"/>
          <w:szCs w:val="28"/>
        </w:rPr>
        <w:t>троку «Объемы финансирования муниципальной программы по годам реализации, тыс. рублей» изложить в следующей редакции:</w:t>
      </w:r>
    </w:p>
    <w:p w:rsidR="0077264B" w:rsidRDefault="0077264B" w:rsidP="007726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352"/>
        <w:gridCol w:w="5702"/>
      </w:tblGrid>
      <w:tr w:rsidR="0077264B" w:rsidRPr="0061607E" w:rsidTr="0077264B">
        <w:trPr>
          <w:trHeight w:val="360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1"/>
              <w:rPr>
                <w:rStyle w:val="CharacterStyle1"/>
                <w:rFonts w:ascii="Liberation Serif" w:eastAsia="Calibri" w:hAnsi="Liberation Serif"/>
              </w:rPr>
            </w:pPr>
            <w:r w:rsidRPr="0061607E">
              <w:rPr>
                <w:rStyle w:val="CharacterStyle1"/>
                <w:rFonts w:ascii="Liberation Serif" w:eastAsia="Calibri" w:hAnsi="Liberation Serif"/>
              </w:rPr>
              <w:t>Обьем финансирования</w:t>
            </w:r>
          </w:p>
        </w:tc>
        <w:tc>
          <w:tcPr>
            <w:tcW w:w="3050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2"/>
              <w:rPr>
                <w:rStyle w:val="CharacterStyle2"/>
                <w:rFonts w:ascii="Liberation Serif" w:eastAsia="Calibri" w:hAnsi="Liberation Serif"/>
              </w:rPr>
            </w:pPr>
            <w:r w:rsidRPr="0061607E">
              <w:rPr>
                <w:rStyle w:val="CharacterStyle2"/>
                <w:rFonts w:ascii="Liberation Serif" w:eastAsia="Calibri" w:hAnsi="Liberation Serif"/>
              </w:rPr>
              <w:t>ВСЕГО:</w:t>
            </w:r>
          </w:p>
        </w:tc>
      </w:tr>
      <w:tr w:rsidR="0077264B" w:rsidRPr="0061607E" w:rsidTr="0077264B">
        <w:trPr>
          <w:trHeight w:val="360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 w:rsidRPr="0061607E">
              <w:rPr>
                <w:rStyle w:val="CharacterStyle6"/>
                <w:rFonts w:ascii="Liberation Serif" w:eastAsia="Calibri" w:hAnsi="Liberation Serif"/>
              </w:rPr>
              <w:t>муниципальной</w:t>
            </w: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 w:rsidRPr="0061607E">
              <w:rPr>
                <w:rStyle w:val="CharacterStyle5"/>
                <w:rFonts w:ascii="Liberation Serif" w:eastAsia="Calibri" w:hAnsi="Liberation Serif"/>
              </w:rPr>
              <w:t>30 351 433,6 тыс. рублей</w:t>
            </w:r>
          </w:p>
        </w:tc>
      </w:tr>
      <w:tr w:rsidR="0077264B" w:rsidRPr="0061607E" w:rsidTr="0077264B">
        <w:trPr>
          <w:trHeight w:val="360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 w:rsidRPr="0061607E">
              <w:rPr>
                <w:rStyle w:val="CharacterStyle6"/>
                <w:rFonts w:ascii="Liberation Serif" w:eastAsia="Calibri" w:hAnsi="Liberation Serif"/>
              </w:rPr>
              <w:t>программы по годам</w:t>
            </w: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 w:rsidRPr="0061607E"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</w:tc>
      </w:tr>
      <w:tr w:rsidR="0077264B" w:rsidRPr="0061607E" w:rsidTr="0077264B">
        <w:trPr>
          <w:trHeight w:val="2925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 w:rsidRPr="0061607E">
              <w:rPr>
                <w:rStyle w:val="CharacterStyle6"/>
                <w:rFonts w:ascii="Liberation Serif" w:eastAsia="Calibri" w:hAnsi="Liberation Serif"/>
              </w:rPr>
              <w:t>реализации, тыс. рублей</w:t>
            </w: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 2 210 274,5 тыс. рублей, 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 2 629 972,4 тыс. рублей, 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br/>
              <w:t xml:space="preserve">2021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 2 935 219,1 тыс. рублей, 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br/>
              <w:t xml:space="preserve">2022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 3 245 311,2 тыс. рублей, 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br/>
              <w:t xml:space="preserve">2023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 3 680 198,0 тыс. рублей, 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br/>
              <w:t xml:space="preserve">2024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 3 977 110,9 тыс. рублей, 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br/>
              <w:t xml:space="preserve">2025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 4 021 229,1 тыс. рублей, 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br/>
              <w:t xml:space="preserve">2026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 4 157 281,9 тыс. рублей, 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5"/>
                <w:rFonts w:ascii="Liberation Serif" w:eastAsia="Calibri" w:hAnsi="Liberation Serif"/>
              </w:rPr>
              <w:t xml:space="preserve"> 3 494 836,6 тыс. рублей</w:t>
            </w:r>
          </w:p>
        </w:tc>
      </w:tr>
      <w:tr w:rsidR="0077264B" w:rsidRPr="0061607E" w:rsidTr="0077264B">
        <w:trPr>
          <w:trHeight w:val="360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4"/>
              <w:rPr>
                <w:rStyle w:val="CharacterStyle4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 w:rsidRPr="0061607E"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</w:tc>
      </w:tr>
      <w:tr w:rsidR="0077264B" w:rsidRPr="0061607E" w:rsidTr="0077264B">
        <w:trPr>
          <w:trHeight w:val="360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61607E">
              <w:rPr>
                <w:rStyle w:val="CharacterStyle10"/>
                <w:rFonts w:ascii="Liberation Serif" w:eastAsia="Calibri" w:hAnsi="Liberation Serif"/>
              </w:rPr>
              <w:t>областной бюджет</w:t>
            </w:r>
          </w:p>
        </w:tc>
      </w:tr>
      <w:tr w:rsidR="0077264B" w:rsidRPr="0061607E" w:rsidTr="0077264B">
        <w:trPr>
          <w:trHeight w:val="360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>13 838 845,3 тыс. рублей</w:t>
            </w:r>
          </w:p>
        </w:tc>
      </w:tr>
      <w:tr w:rsidR="0077264B" w:rsidRPr="0061607E" w:rsidTr="0077264B">
        <w:trPr>
          <w:trHeight w:val="360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77264B" w:rsidRPr="0061607E" w:rsidTr="0077264B">
        <w:trPr>
          <w:trHeight w:val="2970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1 067 431,2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1 227 804,4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2021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1 270 455,4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2022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1 480 357,9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2023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1 635 071,8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2024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1 734 900,5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2025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1 834 224,6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2026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1 940 502,9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1 648 096,5 тыс. рублей</w:t>
            </w:r>
          </w:p>
        </w:tc>
      </w:tr>
      <w:tr w:rsidR="0077264B" w:rsidRPr="0061607E" w:rsidTr="0077264B">
        <w:trPr>
          <w:trHeight w:val="360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61607E">
              <w:rPr>
                <w:rStyle w:val="CharacterStyle10"/>
                <w:rFonts w:ascii="Liberation Serif" w:eastAsia="Calibri" w:hAnsi="Liberation Serif"/>
              </w:rPr>
              <w:t>федеральный бюджет</w:t>
            </w:r>
          </w:p>
        </w:tc>
      </w:tr>
      <w:tr w:rsidR="0077264B" w:rsidRPr="0061607E" w:rsidTr="0077264B">
        <w:trPr>
          <w:trHeight w:val="360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>256 911,4 тыс. рублей</w:t>
            </w:r>
          </w:p>
        </w:tc>
      </w:tr>
      <w:tr w:rsidR="0077264B" w:rsidRPr="0061607E" w:rsidTr="0077264B">
        <w:trPr>
          <w:trHeight w:val="360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77264B" w:rsidRPr="0061607E" w:rsidTr="0077264B">
        <w:trPr>
          <w:trHeight w:val="2985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5 980,0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28 432,8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2021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73 273,9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2022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2023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71 923,3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2024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180,9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2025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2026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77 120,5 тыс. рублей</w:t>
            </w:r>
          </w:p>
        </w:tc>
      </w:tr>
      <w:tr w:rsidR="0077264B" w:rsidRPr="0061607E" w:rsidTr="0077264B">
        <w:trPr>
          <w:trHeight w:val="360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61607E"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</w:tc>
      </w:tr>
      <w:tr w:rsidR="0077264B" w:rsidRPr="0061607E" w:rsidTr="0077264B">
        <w:trPr>
          <w:trHeight w:val="360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>16 255 526,9 тыс. рублей</w:t>
            </w:r>
          </w:p>
        </w:tc>
      </w:tr>
      <w:tr w:rsidR="0077264B" w:rsidRPr="0061607E" w:rsidTr="0077264B">
        <w:trPr>
          <w:trHeight w:val="360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77264B" w:rsidRPr="0061607E" w:rsidTr="0077264B">
        <w:trPr>
          <w:trHeight w:val="2985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1136 863,3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–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1 373 735,2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2021 год 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–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1 591 489,7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2022 год 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–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1 764 953,2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2023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1 973 052,9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2024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2 242 029,5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2025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2 187 004,5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2026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2 216 779,0 тыс. рублей, 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1 769 619,6 тыс. рублей</w:t>
            </w:r>
          </w:p>
        </w:tc>
      </w:tr>
      <w:tr w:rsidR="0077264B" w:rsidRPr="0061607E" w:rsidTr="0077264B">
        <w:trPr>
          <w:trHeight w:val="360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61607E">
              <w:rPr>
                <w:rStyle w:val="CharacterStyle10"/>
                <w:rFonts w:ascii="Liberation Serif" w:eastAsia="Calibri" w:hAnsi="Liberation Serif"/>
              </w:rPr>
              <w:t>внебюджетные источники</w:t>
            </w:r>
          </w:p>
        </w:tc>
      </w:tr>
      <w:tr w:rsidR="0077264B" w:rsidRPr="0061607E" w:rsidTr="0077264B">
        <w:trPr>
          <w:trHeight w:val="360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>150,0 тыс. рублей</w:t>
            </w:r>
          </w:p>
        </w:tc>
      </w:tr>
      <w:tr w:rsidR="0077264B" w:rsidRPr="0061607E" w:rsidTr="0077264B">
        <w:trPr>
          <w:trHeight w:val="360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77264B" w:rsidRPr="0061607E" w:rsidTr="0077264B">
        <w:trPr>
          <w:trHeight w:val="2970"/>
        </w:trPr>
        <w:tc>
          <w:tcPr>
            <w:tcW w:w="157" w:type="pct"/>
          </w:tcPr>
          <w:p w:rsidR="0077264B" w:rsidRPr="0061607E" w:rsidRDefault="0077264B" w:rsidP="00EF297C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7264B" w:rsidRPr="0061607E" w:rsidRDefault="0077264B" w:rsidP="00EF297C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2020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2021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2022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>2023 год 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150,0 тыс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2024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2025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2026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>2027 год –</w:t>
            </w:r>
            <w:r w:rsidRPr="0061607E">
              <w:rPr>
                <w:rStyle w:val="CharacterStyle11"/>
                <w:rFonts w:ascii="Liberation Serif" w:eastAsia="Calibri" w:hAnsi="Liberation Serif"/>
              </w:rPr>
              <w:t xml:space="preserve"> 0,0 тыс. рублей</w:t>
            </w:r>
          </w:p>
        </w:tc>
      </w:tr>
    </w:tbl>
    <w:p w:rsidR="0077264B" w:rsidRDefault="0077264B" w:rsidP="007726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7264B" w:rsidRPr="00492C2C" w:rsidRDefault="0077264B" w:rsidP="007726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92C2C"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92C2C">
        <w:rPr>
          <w:rFonts w:ascii="Liberation Serif" w:hAnsi="Liberation Serif"/>
          <w:sz w:val="28"/>
          <w:szCs w:val="28"/>
        </w:rPr>
        <w:t>приложени</w:t>
      </w:r>
      <w:r>
        <w:rPr>
          <w:rFonts w:ascii="Liberation Serif" w:hAnsi="Liberation Serif"/>
          <w:sz w:val="28"/>
          <w:szCs w:val="28"/>
        </w:rPr>
        <w:t>е</w:t>
      </w:r>
      <w:r w:rsidRPr="00492C2C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1</w:t>
      </w:r>
      <w:r w:rsidRPr="00492C2C">
        <w:rPr>
          <w:rFonts w:ascii="Liberation Serif" w:hAnsi="Liberation Serif"/>
          <w:sz w:val="28"/>
          <w:szCs w:val="28"/>
        </w:rPr>
        <w:t xml:space="preserve"> изложить в новой редакции (прилагается);</w:t>
      </w:r>
    </w:p>
    <w:p w:rsidR="0077264B" w:rsidRPr="00311059" w:rsidRDefault="0077264B" w:rsidP="007726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92C2C">
        <w:rPr>
          <w:rFonts w:ascii="Liberation Serif" w:hAnsi="Liberation Serif"/>
          <w:sz w:val="28"/>
          <w:szCs w:val="28"/>
        </w:rPr>
        <w:t xml:space="preserve">3) </w:t>
      </w:r>
      <w:r w:rsidRPr="00311059">
        <w:rPr>
          <w:rFonts w:ascii="Liberation Serif" w:hAnsi="Liberation Serif"/>
          <w:sz w:val="28"/>
          <w:szCs w:val="28"/>
        </w:rPr>
        <w:t xml:space="preserve"> приложени</w:t>
      </w:r>
      <w:r>
        <w:rPr>
          <w:rFonts w:ascii="Liberation Serif" w:hAnsi="Liberation Serif"/>
          <w:sz w:val="28"/>
          <w:szCs w:val="28"/>
        </w:rPr>
        <w:t>е</w:t>
      </w:r>
      <w:r w:rsidRPr="00311059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2</w:t>
      </w:r>
      <w:r w:rsidRPr="00311059">
        <w:rPr>
          <w:rFonts w:ascii="Liberation Serif" w:hAnsi="Liberation Serif"/>
          <w:sz w:val="28"/>
          <w:szCs w:val="28"/>
        </w:rPr>
        <w:t xml:space="preserve"> изложить в новой редакции (прилагается);</w:t>
      </w:r>
    </w:p>
    <w:p w:rsidR="0077264B" w:rsidRPr="00492C2C" w:rsidRDefault="0077264B" w:rsidP="007726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492C2C">
        <w:rPr>
          <w:rFonts w:ascii="Liberation Serif" w:hAnsi="Liberation Serif"/>
          <w:sz w:val="28"/>
          <w:szCs w:val="28"/>
        </w:rPr>
        <w:t xml:space="preserve">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</w:t>
      </w:r>
      <w:r>
        <w:rPr>
          <w:rFonts w:ascii="Liberation Serif" w:hAnsi="Liberation Serif"/>
          <w:sz w:val="28"/>
          <w:szCs w:val="28"/>
        </w:rPr>
        <w:t>разместить</w:t>
      </w:r>
      <w:r w:rsidRPr="00492C2C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(www.movp.ru).</w:t>
      </w:r>
    </w:p>
    <w:p w:rsidR="0077264B" w:rsidRDefault="0077264B" w:rsidP="007726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7264B" w:rsidRPr="0013051B" w:rsidRDefault="0077264B" w:rsidP="007726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7264B" w:rsidRPr="0013051B" w:rsidTr="00EF297C">
        <w:tc>
          <w:tcPr>
            <w:tcW w:w="6237" w:type="dxa"/>
            <w:vAlign w:val="bottom"/>
          </w:tcPr>
          <w:p w:rsidR="0077264B" w:rsidRPr="0013051B" w:rsidRDefault="0077264B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7264B" w:rsidRPr="0013051B" w:rsidRDefault="0077264B" w:rsidP="00EF29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7264B" w:rsidRDefault="0077264B">
      <w:pPr>
        <w:sectPr w:rsidR="007726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1069"/>
        <w:gridCol w:w="4614"/>
      </w:tblGrid>
      <w:tr w:rsidR="0077264B" w:rsidRPr="007964B8" w:rsidTr="00EF297C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0D1C2E" w:rsidRDefault="0077264B" w:rsidP="00EF297C">
            <w:pPr>
              <w:rPr>
                <w:rFonts w:ascii="Liberation Serif" w:hAnsi="Liberation Serif"/>
              </w:rPr>
            </w:pPr>
            <w:r w:rsidRPr="000D1C2E">
              <w:rPr>
                <w:rFonts w:ascii="Liberation Serif" w:hAnsi="Liberation Serif"/>
              </w:rPr>
              <w:t xml:space="preserve">К постановлению администрации </w:t>
            </w:r>
            <w:r w:rsidRPr="000D1C2E">
              <w:rPr>
                <w:rFonts w:ascii="Liberation Serif" w:hAnsi="Liberation Serif"/>
              </w:rPr>
              <w:br/>
              <w:t>городского округа Верхняя Пышма</w:t>
            </w:r>
            <w:r w:rsidRPr="000D1C2E">
              <w:rPr>
                <w:rFonts w:ascii="Liberation Serif" w:hAnsi="Liberation Serif"/>
              </w:rPr>
              <w:br/>
              <w:t>от _________________ № ________</w:t>
            </w:r>
          </w:p>
          <w:p w:rsidR="0077264B" w:rsidRDefault="0077264B" w:rsidP="00EF297C">
            <w:pPr>
              <w:rPr>
                <w:rFonts w:ascii="Liberation Serif" w:hAnsi="Liberation Serif"/>
              </w:rPr>
            </w:pPr>
          </w:p>
          <w:p w:rsidR="0077264B" w:rsidRPr="000D1C2E" w:rsidRDefault="0077264B" w:rsidP="00EF297C">
            <w:pPr>
              <w:rPr>
                <w:rFonts w:ascii="Liberation Serif" w:hAnsi="Liberation Serif"/>
              </w:rPr>
            </w:pPr>
            <w:r w:rsidRPr="000D1C2E">
              <w:rPr>
                <w:rFonts w:ascii="Liberation Serif" w:hAnsi="Liberation Serif"/>
              </w:rPr>
              <w:t xml:space="preserve">Приложение № </w:t>
            </w:r>
            <w:r>
              <w:rPr>
                <w:rFonts w:ascii="Liberation Serif" w:hAnsi="Liberation Serif"/>
              </w:rPr>
              <w:t>1</w:t>
            </w:r>
          </w:p>
          <w:p w:rsidR="0077264B" w:rsidRPr="007964B8" w:rsidRDefault="0077264B" w:rsidP="00EF297C">
            <w:pPr>
              <w:rPr>
                <w:rFonts w:ascii="Liberation Serif" w:hAnsi="Liberation Serif"/>
              </w:rPr>
            </w:pPr>
            <w:r w:rsidRPr="000D1C2E">
              <w:rPr>
                <w:rFonts w:ascii="Liberation Serif" w:hAnsi="Liberation Serif"/>
              </w:rPr>
              <w:t>к муниципальной программе «Развитие социальной сферы в городском округе Верхняя Пышма до 2027 года»</w:t>
            </w:r>
          </w:p>
        </w:tc>
      </w:tr>
      <w:tr w:rsidR="0077264B" w:rsidRPr="007964B8" w:rsidTr="00EF297C">
        <w:trPr>
          <w:trHeight w:val="52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B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</w:p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7964B8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77264B" w:rsidRPr="007964B8" w:rsidTr="00EF297C">
        <w:trPr>
          <w:trHeight w:val="25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77264B" w:rsidRPr="007964B8" w:rsidTr="00EF297C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77264B" w:rsidRPr="007964B8" w:rsidRDefault="0077264B" w:rsidP="0077264B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3896"/>
        <w:gridCol w:w="1016"/>
        <w:gridCol w:w="850"/>
        <w:gridCol w:w="778"/>
        <w:gridCol w:w="850"/>
        <w:gridCol w:w="778"/>
        <w:gridCol w:w="740"/>
        <w:gridCol w:w="743"/>
        <w:gridCol w:w="743"/>
        <w:gridCol w:w="743"/>
        <w:gridCol w:w="745"/>
        <w:gridCol w:w="1954"/>
      </w:tblGrid>
      <w:tr w:rsidR="0077264B" w:rsidRPr="007964B8" w:rsidTr="00EF297C">
        <w:trPr>
          <w:cantSplit/>
          <w:trHeight w:val="39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39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77264B" w:rsidRPr="007964B8" w:rsidRDefault="0077264B" w:rsidP="0077264B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2"/>
        <w:gridCol w:w="3918"/>
        <w:gridCol w:w="1088"/>
        <w:gridCol w:w="838"/>
        <w:gridCol w:w="766"/>
        <w:gridCol w:w="839"/>
        <w:gridCol w:w="769"/>
        <w:gridCol w:w="731"/>
        <w:gridCol w:w="734"/>
        <w:gridCol w:w="734"/>
        <w:gridCol w:w="734"/>
        <w:gridCol w:w="734"/>
        <w:gridCol w:w="1963"/>
      </w:tblGrid>
      <w:tr w:rsidR="0077264B" w:rsidRPr="007964B8" w:rsidTr="00EF297C">
        <w:trPr>
          <w:cantSplit/>
          <w:trHeight w:val="255"/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2027 года»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1.1. Создание лицензионных условий в образовательных учреждениях общего и дополнительного образования</w:t>
            </w:r>
          </w:p>
        </w:tc>
      </w:tr>
      <w:tr w:rsidR="0077264B" w:rsidRPr="007964B8" w:rsidTr="00EF297C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1.1.1.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образовательных учреждений, имеющих лицензию на право ведения образовательной деятельности, от общего количества муниципальных образовательных учреждений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Сайты образовательных учреждений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Обеспечение образовательных учреждений условиями в соответствии с ФГОС общего и дошкольного образования</w:t>
            </w:r>
          </w:p>
        </w:tc>
      </w:tr>
      <w:tr w:rsidR="0077264B" w:rsidRPr="007964B8" w:rsidTr="00EF297C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образования, от общей численности педагогических и руководящих работников, направляемых на курсы повышения квалификации в связи с введением федерального государственного образовательного стандарта общего образования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77264B" w:rsidRPr="007964B8" w:rsidTr="00EF297C">
        <w:trPr>
          <w:cantSplit/>
          <w:trHeight w:val="12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1.2.2.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Доля работников, прошедших курсы по обеспечению комплексной безопасности и совершенствования деятельности образовательных учреждений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77264B" w:rsidRPr="007964B8" w:rsidTr="00EF297C">
        <w:trPr>
          <w:cantSplit/>
          <w:trHeight w:val="12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1.2.3.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созданных центров «Точка роста» на базе общеобразовательных учреждений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Предоставление образования детям с ограниченными возможностями здоровья, в том числе специального (коррекционного), в образовательных учреждениях городского округа Верхняя Пышма</w:t>
            </w:r>
          </w:p>
        </w:tc>
      </w:tr>
      <w:tr w:rsidR="0077264B" w:rsidRPr="007964B8" w:rsidTr="00EF297C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1.3.1.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77264B" w:rsidRPr="007964B8" w:rsidTr="00EF297C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1.3.2.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детей школьного возраста с ограниченными возможностями здоровья, охваченных образовательными услугами коррекционного образования, от общего количества детей школьного возраста с ограниченными возможностями здоровья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77264B" w:rsidRPr="007964B8" w:rsidTr="00EF297C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1.3.3.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детей-инвалидов дошкольного возраста, проживающих в городском округе Верхняя Пышма, охваченных обучением на дому, в дошкольных образовательных организациях, от общего количества детей-инвалидов дошкольного возраста, проживающих в городском округе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87,32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1.4. Обеспечение доступности образования для детей-сирот и детей, оставшихся без попечения родителей</w:t>
            </w:r>
          </w:p>
        </w:tc>
      </w:tr>
      <w:tr w:rsidR="0077264B" w:rsidRPr="007964B8" w:rsidTr="00EF297C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1.4.1.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детей-сирот и детей, 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1.5. Обеспечение бесплатного проезда детей-сирот и детей, оставшихся без попечения родителей, обучающихся в муниципальных общеобразовательных учреждениях, на городском, пригородном транспорте</w:t>
            </w:r>
          </w:p>
        </w:tc>
      </w:tr>
      <w:tr w:rsidR="0077264B" w:rsidRPr="007964B8" w:rsidTr="00EF297C">
        <w:trPr>
          <w:cantSplit/>
          <w:trHeight w:val="3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1.5.1.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 бесплатный проезд на городском, пригородном транспорте,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1.6. Обеспечение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</w:tr>
      <w:tr w:rsidR="0077264B" w:rsidRPr="007964B8" w:rsidTr="00EF297C">
        <w:trPr>
          <w:cantSplit/>
          <w:trHeight w:val="76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1.6.1.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автобусов, приобретённых для обеспечения подвоза обучающихся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штуки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1.7.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Верхняя Пышма</w:t>
            </w:r>
          </w:p>
        </w:tc>
      </w:tr>
      <w:tr w:rsidR="0077264B" w:rsidRPr="007964B8" w:rsidTr="00EF297C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1.7.1.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96,6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96,8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96,9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97,0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1.8.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</w:t>
            </w:r>
          </w:p>
        </w:tc>
      </w:tr>
      <w:tr w:rsidR="0077264B" w:rsidRPr="007964B8" w:rsidTr="00EF297C">
        <w:trPr>
          <w:cantSplit/>
          <w:trHeight w:val="586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1.8.1.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детей в возрасте от 3 до 7 лет, получающих дошкольную образовательную услугу, от общего количества детей в возрасте от 3 до 7 лет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"Демография",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</w:p>
        </w:tc>
      </w:tr>
      <w:tr w:rsidR="0077264B" w:rsidRPr="007964B8" w:rsidTr="00EF297C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1.8.2.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муниципальных дошкольных образовательных учреждений, которым обеспечена деятельность по оказанию образовательных услуг, от общего количества муниципальных дошкольных образовательных учреждений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77264B" w:rsidRPr="007964B8" w:rsidTr="00EF297C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1.8.3.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муниципальных общеобразовательных учреждений, которым обеспечена деятельность по предоставлению образовательных услуг, от общего количества муниципальных общеобразовательных учреждений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77264B" w:rsidRPr="007964B8" w:rsidTr="00EF297C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1.8.4.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99,01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99,92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98,87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77264B" w:rsidRPr="007964B8" w:rsidTr="00EF297C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1.8.5.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основного общего образования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95,34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99,83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95,36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95,37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95,38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95,39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95,39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95,39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95,39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77264B" w:rsidRPr="007964B8" w:rsidTr="00EF297C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1.8.6.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99,75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98,77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98,78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98,79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77264B" w:rsidRPr="007964B8" w:rsidTr="00EF297C">
        <w:trPr>
          <w:cantSplit/>
          <w:trHeight w:val="816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1.8.7.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руководство, в общей численности педагогических работников, осуществляющих классное руководство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03.09.2020 № 620-ПП «О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на территории Свердловской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</w:t>
            </w:r>
          </w:p>
        </w:tc>
      </w:tr>
      <w:tr w:rsidR="0077264B" w:rsidRPr="007964B8" w:rsidTr="00EF297C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1.8.8.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советников директоров муниципальных общеобразовательных учреждений городского округа Верхняя Пышма, получивших выплату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1.9.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</w:t>
            </w:r>
          </w:p>
        </w:tc>
      </w:tr>
      <w:tr w:rsidR="0077264B" w:rsidRPr="007964B8" w:rsidTr="00EF297C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1.9.1.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75,15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75,20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75,25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75,25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75,25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75,25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77264B" w:rsidRPr="007964B8" w:rsidTr="00EF297C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1.9.2.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77264B" w:rsidRPr="007964B8" w:rsidTr="00EF297C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1.9.3.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Доля детей от 5 до 18 лет, 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br/>
              <w:t>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1.10. Реализация программ и форм для талантливых детей</w:t>
            </w:r>
          </w:p>
        </w:tc>
      </w:tr>
      <w:tr w:rsidR="0077264B" w:rsidRPr="007964B8" w:rsidTr="00EF297C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1.10.1.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57,10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57,15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57,20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57,25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57,30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1.11. Формирование у детей навыков безопасного поведения на улицах и дорогах</w:t>
            </w:r>
          </w:p>
        </w:tc>
      </w:tr>
      <w:tr w:rsidR="0077264B" w:rsidRPr="007964B8" w:rsidTr="00EF297C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1.11.1.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0,095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0,094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0,093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0,092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77264B" w:rsidRPr="007964B8" w:rsidTr="00EF297C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1.11.2.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кабинетов "Светофор", приобретенных для создания условий и организация мероприятий по формированию безопасного поведения обучающихся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>
              <w:rPr>
                <w:rFonts w:ascii="Liberation Serif" w:hAnsi="Liberation Serif"/>
                <w:sz w:val="20"/>
                <w:szCs w:val="20"/>
              </w:rPr>
              <w:br/>
            </w:r>
            <w:r w:rsidRPr="007964B8">
              <w:rPr>
                <w:rFonts w:ascii="Liberation Serif" w:hAnsi="Liberation Serif"/>
                <w:sz w:val="20"/>
                <w:szCs w:val="20"/>
              </w:rPr>
              <w:t>N 10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1.12. Материально-техническое обеспечение системы образования в городском округе Верхняя Пышма </w:t>
            </w:r>
          </w:p>
        </w:tc>
      </w:tr>
      <w:tr w:rsidR="0077264B" w:rsidRPr="007964B8" w:rsidTr="00EF297C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1.12.1.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учреждений улучшивших материально -техническую базу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77264B" w:rsidRPr="007964B8" w:rsidTr="00EF297C">
        <w:trPr>
          <w:cantSplit/>
          <w:trHeight w:val="3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1.12.2.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общеобразовательных учреждений, обеспеченных учебниками, вошедшими в федеральные перечни учебников, от общего количества муниципальных общеобразовательных учреждений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Годовая форма федерального статистического наблюдения № ОО-2 "Сведения о материально-технической и информационной базе, финансово-экономической деятельности общеобразовательной организации"</w:t>
            </w:r>
          </w:p>
        </w:tc>
      </w:tr>
      <w:tr w:rsidR="0077264B" w:rsidRPr="007964B8" w:rsidTr="00EF297C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1.12.3.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дошкольных учреждений, улучшивших материально-техническую базу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77264B" w:rsidRPr="007964B8" w:rsidTr="00EF297C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1.12.4.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улучшивших материально-техническую базу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77264B" w:rsidRPr="007964B8" w:rsidTr="00EF297C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1.12.5.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организаций, в которых открыты (модернизированы) кабинеты естественно-научного цикла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77264B" w:rsidRPr="007964B8" w:rsidTr="00EF297C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1.12.6.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организаций, в которых  в результате приобретения учебно-производственного оборудования созданы условия для проведения профориентационной работы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77264B" w:rsidRPr="007964B8" w:rsidTr="00EF297C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1.12.7.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направленности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1.13.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</w:tr>
      <w:tr w:rsidR="0077264B" w:rsidRPr="007964B8" w:rsidTr="00EF297C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1.13.1.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77264B" w:rsidRPr="007964B8" w:rsidTr="00EF297C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1.13.2.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образовательных учреждений, которые оснащены приборами учета энергоресурсов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77264B" w:rsidRPr="007964B8" w:rsidTr="00EF297C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1.13.3.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77264B" w:rsidRPr="007964B8" w:rsidTr="00EF297C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1.13.4.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77264B" w:rsidRPr="007964B8" w:rsidTr="00EF297C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1.13.5.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образовательных учреждений, готовых к отопительному сезону к отопительному сезону, от общего количества образовательных учреждений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Акт готовности образовательных учреждений к началу отопительного сезона</w:t>
            </w:r>
          </w:p>
        </w:tc>
      </w:tr>
      <w:tr w:rsidR="0077264B" w:rsidRPr="007964B8" w:rsidTr="00EF297C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1.13.7.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повышению энергетической эффективности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1.14.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1.14. Обновление системы развития педагогических кадров, повышение престижа учительской профессии.</w:t>
            </w:r>
          </w:p>
        </w:tc>
      </w:tr>
      <w:tr w:rsidR="0077264B" w:rsidRPr="007964B8" w:rsidTr="00EF297C">
        <w:trPr>
          <w:cantSplit/>
          <w:trHeight w:val="12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1.14.1.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проведённых общегородских мероприятий в сфере образования для педагогических работников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Формирование культуры здорового питания обучающихся</w:t>
            </w:r>
          </w:p>
        </w:tc>
      </w:tr>
      <w:tr w:rsidR="0077264B" w:rsidRPr="007964B8" w:rsidTr="00EF297C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2.1.1.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93,2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93,4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77264B" w:rsidRPr="007964B8" w:rsidTr="00EF297C">
        <w:trPr>
          <w:cantSplit/>
          <w:trHeight w:val="484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2.1.2.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    </w:r>
          </w:p>
        </w:tc>
      </w:tr>
      <w:tr w:rsidR="0077264B" w:rsidRPr="007964B8" w:rsidTr="00EF297C">
        <w:trPr>
          <w:cantSplit/>
          <w:trHeight w:val="484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2.1.3.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Охват бесплатным горячим питанием обучающихся из числа льготных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br/>
              <w:t>категорий граждан, получающих основное и среднее общее образование в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br/>
              <w:t>муниципальных образовательных организациях (в соответствии со статьей 22 Закона Свердловской области от 15.07.2013 N 78-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br/>
              <w:t>«Об образовании в Свердловской области»)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2.2. Модернизация материально-технической базы предприятий системы школьного питания</w:t>
            </w:r>
          </w:p>
        </w:tc>
      </w:tr>
      <w:tr w:rsidR="0077264B" w:rsidRPr="007964B8" w:rsidTr="00EF297C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2.2.1.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школьных столовых, в которых произведена замена технологического оборудования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77264B" w:rsidRPr="007964B8" w:rsidTr="00EF297C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2.2.2.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школьных столовых, в которых заменена обеденная мебель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77264B" w:rsidRPr="007964B8" w:rsidTr="00EF297C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2.2.3.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школьных столовых, в которых произведена замена системы вентиляции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77264B" w:rsidRPr="007964B8" w:rsidTr="00EF297C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2.2.4.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 школьных столовых, в которых заменен кухонный инвентарь, столовая посуда, столовые приборы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2.3. Обеспечение льготных категорий обучающихся бесплатными новогодними подарками</w:t>
            </w:r>
          </w:p>
        </w:tc>
      </w:tr>
      <w:tr w:rsidR="0077264B" w:rsidRPr="007964B8" w:rsidTr="00EF297C">
        <w:trPr>
          <w:cantSplit/>
          <w:trHeight w:val="25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2.3.1.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Охват обучающихся льготных категорий (в соответствии со статьей 22 Закона Свердловской области от 15.07.2013 N 78-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br/>
              <w:t>«Об образовании в Свердловской области») бесплатными новогодними подарками от общего количества обучающихся льготных категорий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3. «Патриотическое воспитание граждан на территории городского округа Верхняя Пышма до 2027 года»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3. Развитие системы патриотического воспитания граждан городского округа Верхняя Пышма,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Развитие инфраструктуры муниципальных учреждений для организации патриотического воспитания граждан городского округа Верхняя Пышма</w:t>
            </w:r>
          </w:p>
        </w:tc>
      </w:tr>
      <w:tr w:rsidR="0077264B" w:rsidRPr="007964B8" w:rsidTr="00EF297C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3.1.1.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3.1.2.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учреждений, проводивших работы по ремонту/строительству/реконструкции памятных объектов и содержанию прилегающей к ним территорий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77264B" w:rsidRPr="007964B8" w:rsidTr="00EF297C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3.1.3.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созданных арт – объектов, патриотической направленности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3.2.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77264B" w:rsidRPr="007964B8" w:rsidTr="00EF297C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3.2.1.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3.2.2.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граждан допризывного возраста (15-18 лет) готовых к службе в армии, проживающих на территории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1-ОЛ</w:t>
            </w:r>
          </w:p>
        </w:tc>
      </w:tr>
      <w:tr w:rsidR="0077264B" w:rsidRPr="007964B8" w:rsidTr="00EF297C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3.2.3.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мероприятий по патриотическому воспитанию граждан в городском округе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3.2.4.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действующих на территории городского округа Верхняя Пышма патриотических молодежных объединений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3.3. Пропаганда культурного многообразия, этнокультурных ценностей и толерантных отношений в городском округе Верхняя Пышма</w:t>
            </w:r>
          </w:p>
        </w:tc>
      </w:tr>
      <w:tr w:rsidR="0077264B" w:rsidRPr="007964B8" w:rsidTr="00EF297C">
        <w:trPr>
          <w:cantSplit/>
          <w:trHeight w:val="280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3.3.1.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«Развитие культуры и искусства на территории городского округа Верхняя Пышма до 2027 года»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4.1. Повышение доступности и качества услуг библиотечного, социально-культурного, просветительского, развлекательного характера доступных для широких слоев населения  </w:t>
            </w:r>
          </w:p>
        </w:tc>
      </w:tr>
      <w:tr w:rsidR="0077264B" w:rsidRPr="007964B8" w:rsidTr="00EF297C">
        <w:trPr>
          <w:cantSplit/>
          <w:trHeight w:val="76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4.1.1.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Увеличение числа посетителей Модельной библиотеки для детей и молодежи 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  <w:tr w:rsidR="0077264B" w:rsidRPr="007964B8" w:rsidTr="00EF297C">
        <w:trPr>
          <w:cantSplit/>
          <w:trHeight w:val="12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4.1.2.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посещений муниципальных библиотек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тыс. 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Распоряжение администрации городского округа Верхняя Пышма от 31.08.2020 № 487</w:t>
            </w:r>
          </w:p>
        </w:tc>
      </w:tr>
      <w:tr w:rsidR="0077264B" w:rsidRPr="007964B8" w:rsidTr="00EF297C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4.1.3.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музейных предметов, основного музейного фонда учреждения, опубликованных на экспозициях и выставках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415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77264B" w:rsidRPr="007964B8" w:rsidTr="00EF297C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4.1.4.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Соотношение средней заработной платы муниципальных учреждений культуры и средней заработной платы в субъекте Российской Федерации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МКУ "Управление культуры городского округа Верхняя Пышма"</w:t>
            </w:r>
          </w:p>
        </w:tc>
      </w:tr>
      <w:tr w:rsidR="0077264B" w:rsidRPr="007964B8" w:rsidTr="00EF297C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4.1.5.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зрителей кинотеатра "Киноград"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тыс. 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36300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36,3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учреждения по фильмам за отчетный период (группировка по залам)</w:t>
            </w:r>
          </w:p>
        </w:tc>
      </w:tr>
      <w:tr w:rsidR="0077264B" w:rsidRPr="007964B8" w:rsidTr="00EF297C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4.1.6.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89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Приказы учреждений о клубных формированиях на текущий год </w:t>
            </w:r>
          </w:p>
        </w:tc>
      </w:tr>
      <w:tr w:rsidR="0077264B" w:rsidRPr="007964B8" w:rsidTr="00EF297C">
        <w:trPr>
          <w:cantSplit/>
          <w:trHeight w:val="76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4.1.7.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размещенных материалов туристической направленности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учреждения (скриншоты постов, статей, пресс - релизов)</w:t>
            </w:r>
          </w:p>
        </w:tc>
      </w:tr>
      <w:tr w:rsidR="0077264B" w:rsidRPr="007964B8" w:rsidTr="00EF297C">
        <w:trPr>
          <w:cantSplit/>
          <w:trHeight w:val="12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4.1.8.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учреждений, получивших субсидию на модернизацию библиотек в части комплектования книжных фондов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муниципального казенного учреждения «Управление культуры городского округа Верхняя Пышма»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77264B" w:rsidRPr="007964B8" w:rsidTr="00EF297C">
        <w:trPr>
          <w:cantSplit/>
          <w:trHeight w:val="12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4.2.1.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культуры, улучшивших материально-техническую базу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220866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70600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221366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77264B" w:rsidRPr="007964B8" w:rsidTr="00EF297C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4.2.2.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2286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2280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2289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2299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2299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7-НК, №6 -НК, №11 -НК  </w:t>
            </w:r>
          </w:p>
        </w:tc>
      </w:tr>
      <w:tr w:rsidR="0077264B" w:rsidRPr="007964B8" w:rsidTr="00EF297C">
        <w:trPr>
          <w:cantSplit/>
          <w:trHeight w:val="76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4.2.3.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Увеличение количества выставок в МБУК "Верхнепышминский исторический музей"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1805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1820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77264B" w:rsidRPr="007964B8" w:rsidTr="00EF297C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4.2.4.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учреждений культуры, готовых к отопительному сезону, от общего количества муниципальных учреждений культуры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1,0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77264B" w:rsidRPr="007964B8" w:rsidTr="00EF297C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4.2.5.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культуры, проводивших работы по разработке проектно-сметной документации/приобретению/реконструкции и строительству учреждений культуры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16,9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4.2.6.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музейных предметов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77264B" w:rsidRPr="007964B8" w:rsidTr="00EF297C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4.2.7.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человек , получивших государственную поддержку лучшим работникам сельских учреждений культуры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77264B" w:rsidRPr="007964B8" w:rsidTr="00EF297C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4.2.8.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коллективов, получивших государственную поддержку муниципальным учреждениям культуры на поддержку любительских творческих коллективов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«Развитие системы отдыха и оздоровления детей на территории городского округа Верхняя Пышма до 2027 года»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5.1. Совершенствование форм организации отдыха и оздоровления детей</w:t>
            </w:r>
          </w:p>
        </w:tc>
      </w:tr>
      <w:tr w:rsidR="0077264B" w:rsidRPr="007964B8" w:rsidTr="00EF297C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5.1.1.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от общей численности детей школьного возраста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77264B" w:rsidRPr="007964B8" w:rsidTr="00EF297C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5.1.2.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детей в городском округе Верхняя Пышма, охваченных детско-юношеским туризмом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5.2. Расширение спектра услуг, предоставляемых муниципальным автономным учреждением "Загородный оздоровительный лагерь "Медная горка"</w:t>
            </w:r>
          </w:p>
        </w:tc>
      </w:tr>
      <w:tr w:rsidR="0077264B" w:rsidRPr="007964B8" w:rsidTr="00EF297C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5.2.1.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детей и подростков, получивших услуги по организации отдыха и оздоровления в муниципальном автономном учреждении «Загородный оздоровительный лагерь "Медная горка"»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1250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5.3. Сохранение и развитие инфраструктуры системы отдыха и оздоровления детей</w:t>
            </w:r>
          </w:p>
        </w:tc>
      </w:tr>
      <w:tr w:rsidR="0077264B" w:rsidRPr="007964B8" w:rsidTr="00EF297C">
        <w:trPr>
          <w:cantSplit/>
          <w:trHeight w:val="3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5.3.1.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зданий и сооружений муниципального автономного учреждения «Загородный оздоровительный лагерь "Медная горка"»,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безбарьерной среды для детей всех групп здоровья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77264B" w:rsidRPr="007964B8" w:rsidTr="00EF297C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5.3.2.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документов (положительных заключений), полученных из государственной экспертизы, на проектирование газовой блочно-модульной котельной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Положительное заключение государственной экспертизы на объект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6. «Развитие физической культуры и спорта на территории городского округа Верхняя Пышма до 2027 года»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6. Предоставление физкультурно-спортивных услуг отвечающим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6.1. Укрепление материально-технической базы учреждений физической культуры и спорта, подведомственных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586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6.1.1.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"Демография",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</w:p>
        </w:tc>
      </w:tr>
      <w:tr w:rsidR="0077264B" w:rsidRPr="007964B8" w:rsidTr="00EF297C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6.1.2.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в сфере физической культуры и спорта, улучшивших материально-техническую базу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77264B" w:rsidRPr="007964B8" w:rsidTr="00EF297C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6.2.1.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спортивно - массовых и физкультурно-оздоровительных мероприятий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305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310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Годовой сводный отчет по спортивно - массовым мероприятиям в ЗУО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77264B" w:rsidRPr="007964B8" w:rsidTr="00EF297C">
        <w:trPr>
          <w:cantSplit/>
          <w:trHeight w:val="12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6.3.1.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ПП СО  от 29 октября 2013 г. N 1332-ПП «Спорт-норма жизни" национального проекта «Демография»</w:t>
            </w:r>
          </w:p>
        </w:tc>
      </w:tr>
      <w:tr w:rsidR="0077264B" w:rsidRPr="007964B8" w:rsidTr="00EF297C">
        <w:trPr>
          <w:cantSplit/>
          <w:trHeight w:val="76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6.3.2.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Ввод в эксплуатацию спортивной инфраструктуры муниципальной собственности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ПП СО  от 29 октября 2013 г. N 1332-ПП</w:t>
            </w:r>
          </w:p>
        </w:tc>
      </w:tr>
      <w:tr w:rsidR="0077264B" w:rsidRPr="007964B8" w:rsidTr="00EF297C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6.3.3.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объектов,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77264B" w:rsidRPr="007964B8" w:rsidTr="00EF297C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6.3.4.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объектов спортивной инфраструктуры, приведенных в нормативное состояние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77264B" w:rsidRPr="007964B8" w:rsidTr="00EF297C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6.3.5.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46,3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49,4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52,2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55,2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61,9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64,9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67,2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1 – ФК, ПП СО от 29 октября 2013 г. N 1332-ПП </w:t>
            </w:r>
          </w:p>
        </w:tc>
      </w:tr>
      <w:tr w:rsidR="0077264B" w:rsidRPr="007964B8" w:rsidTr="00EF297C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6.3.6.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88,4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ПП СО  от 29 октября 2013 г. N 1332-ПП, «Спорт-норма жизни" национального проекта «Демография»</w:t>
            </w:r>
          </w:p>
        </w:tc>
      </w:tr>
      <w:tr w:rsidR="0077264B" w:rsidRPr="007964B8" w:rsidTr="00EF297C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6.3.7.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32,2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37,5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41,5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48,6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ПП СО  от 29 октября 2013 г. N 1332-ПП, «Спорт-норма жизни" национального проекта «Демография»</w:t>
            </w:r>
          </w:p>
        </w:tc>
      </w:tr>
      <w:tr w:rsidR="0077264B" w:rsidRPr="007964B8" w:rsidTr="00EF297C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6.3.8.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16,2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24,6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24,7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29,2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33,3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37,5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ПП СО  от 29 октября 2013 г. N 1332-ПП, «Спорт-норма жизни" национального проекта «Демография»</w:t>
            </w:r>
          </w:p>
        </w:tc>
      </w:tr>
      <w:tr w:rsidR="0077264B" w:rsidRPr="007964B8" w:rsidTr="00EF297C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6.3.9.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объектов муниципальных учреждений физической культуры и спорта, в которых проведены мероприятия по проектированию, реконструкции и строительству прочих объектов муниципальной собственности в сфере физической культуры и спорта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МКУ "Управление физической культуры, спорта и молодежной политики администрации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6.3.10.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физической культуры и спорта, в которых проведены мероприятия по обеспечению деятельности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МКУ "Управление физической культуры, спорта и молодежной политики администрации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6.4.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6.4. Поддержка перспективных спортсменов</w:t>
            </w:r>
          </w:p>
        </w:tc>
      </w:tr>
      <w:tr w:rsidR="0077264B" w:rsidRPr="007964B8" w:rsidTr="00EF297C">
        <w:trPr>
          <w:cantSplit/>
          <w:trHeight w:val="76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6.4.1.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присвоенных спортивных разрядов и квалификационных категорий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630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1-ФК</w:t>
            </w:r>
          </w:p>
        </w:tc>
      </w:tr>
      <w:tr w:rsidR="0077264B" w:rsidRPr="007964B8" w:rsidTr="00EF297C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6.4.2.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ПП СО  от 29 октября 2013 г. N 1332-ПП</w:t>
            </w:r>
          </w:p>
        </w:tc>
      </w:tr>
      <w:tr w:rsidR="0077264B" w:rsidRPr="007964B8" w:rsidTr="00EF297C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6.4.3.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ПП СО  от 29 октября 2013 г. N 1332-ПП, «Спорт-норма жизни" национального проекта «Демография»</w:t>
            </w:r>
          </w:p>
        </w:tc>
      </w:tr>
      <w:tr w:rsidR="0077264B" w:rsidRPr="007964B8" w:rsidTr="00EF297C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6.4.4.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медалей, завоеванных спортсменами городского округа Верхняя Пышма на международных,  всероссийских, региональных, областных соревнованиях по видам спорта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110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140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ПП СО  от 29 октября 2013 г. N 1332-ПП</w:t>
            </w:r>
          </w:p>
        </w:tc>
      </w:tr>
      <w:tr w:rsidR="0077264B" w:rsidRPr="007964B8" w:rsidTr="00EF297C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6.4.5.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приобретенного особо ценного движимого имущества свыше 50 тысяч рублей (в том числе оборудования и (или) инвентаря для занятий в спортивных школах)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77264B" w:rsidRPr="007964B8" w:rsidTr="00EF297C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6.5.1.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12,7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17,1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17,3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17,4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Форма Федерального  статистического наблюдения 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br/>
              <w:t>№ 3 – АФК, ПП СО от 29 октября 2013 г. N 1332-ПП</w:t>
            </w:r>
          </w:p>
        </w:tc>
      </w:tr>
      <w:tr w:rsidR="0077264B" w:rsidRPr="007964B8" w:rsidTr="00EF297C">
        <w:trPr>
          <w:cantSplit/>
          <w:trHeight w:val="25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6.5.2.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68,5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Форма Федерального  статистического наблюдения 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br/>
              <w:t>№ 3 – АФК, ПП СО от 29 октября 2013 г. N 1332-ПП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6.6. Поэтапное внедрение Всероссийского физкультурно-спортивного комплекса "Готов к труду и обороне" (ГТО) на территории городского округа Верхняя Пышма</w:t>
            </w:r>
          </w:p>
        </w:tc>
      </w:tr>
      <w:tr w:rsidR="0077264B" w:rsidRPr="007964B8" w:rsidTr="00EF297C">
        <w:trPr>
          <w:cantSplit/>
          <w:trHeight w:val="25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6.6.1.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населения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отчета 2-ГТО, ПП СО от 29 октября 2013 г. N 1332-ПП</w:t>
            </w:r>
          </w:p>
        </w:tc>
      </w:tr>
      <w:tr w:rsidR="0077264B" w:rsidRPr="007964B8" w:rsidTr="00EF297C">
        <w:trPr>
          <w:cantSplit/>
          <w:trHeight w:val="25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6.6.2.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учащихся и студентов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отчета 2-ГТО, ПП СО от 29 октября 2013 г. N 1332-ПП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6.7. Подготовка спортивной и иной инфраструктуры, необходимой для проведения ХХХII Всемирной летней Универсиады 2023 года в городе Екатеринбурге</w:t>
            </w:r>
          </w:p>
        </w:tc>
      </w:tr>
      <w:tr w:rsidR="0077264B" w:rsidRPr="007964B8" w:rsidTr="00EF297C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6.7.1.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действующих объектов спортивной и сопутствующей инфраструктуры, необходимых для проведения Универсиады, приведенных в нормативное состояние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7. «Молодежь городского округа Верхняя Пышма до 2027 года»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7. Создание условий для успешной социализации и вовлечения молодежи в социально-экономическое развитие городского округа Верхняя Пышма, обеспечение развития и максимального использования социального, экономического, гражданского, культурного и духовного потенциала молодых граждан городского округа Верхняя Пышма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7.1. Повышение политической, правовой культуры и социальной активности молодежи, поддержка общественно значимых инициатив молодежи, совершенствование и развитие системы добровольчества</w:t>
            </w:r>
          </w:p>
        </w:tc>
      </w:tr>
      <w:tr w:rsidR="0077264B" w:rsidRPr="007964B8" w:rsidTr="00EF297C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7.1.1.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 до 35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7.1.2.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действующих на территории городского округа Верхняя Пышма органов молодежного самоуправления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7.1.3.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мероприятий по работе с молодежью в городском округе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7.1.4.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граждан, участвующих в добровольческой (волонтерской) деятельности в городском округе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7.1.5.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поддержанных молодежных инициатив по результатам проекта "Банк молодежных инициатив" в городском округе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7.1.6.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действующих молодежных коворкинг-центров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7.2. Формирование и популяризация культуры здорового образа жизни, культуры безопасности жизнедеятельности в молодежной среде, формирование осознанного родительства</w:t>
            </w:r>
          </w:p>
        </w:tc>
      </w:tr>
      <w:tr w:rsidR="0077264B" w:rsidRPr="007964B8" w:rsidTr="00EF297C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7.2.1.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278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7.2.2.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14-35 лет, находящихся в трудной жизненной ситуации, охваченных ведомственным проектом «Безопасность жизни», проживающих на территории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25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7.2.3.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 Количество молодых граждан в возрасте от 14 до 35 лет, вовлеченных в мероприятия по формированию в молодежной среде осознанного родительства, пропаганде традиционных семейных ценностей, проживающих на территории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7.3.  Создание и распространение эффективных моделей и форм включения молодых граждан в трудовую деятельность, реализация трудового потенциала </w:t>
            </w:r>
          </w:p>
        </w:tc>
      </w:tr>
      <w:tr w:rsidR="0077264B" w:rsidRPr="007964B8" w:rsidTr="00EF297C">
        <w:trPr>
          <w:cantSplit/>
          <w:trHeight w:val="25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7.3.1.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7.3.2.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201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588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7.4.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</w:t>
            </w:r>
          </w:p>
        </w:tc>
      </w:tr>
      <w:tr w:rsidR="0077264B" w:rsidRPr="007964B8" w:rsidTr="00EF297C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7.4.1.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муниципальных учреждений молодежной политики, улучшивших материально-техническую базу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7.4.2.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7.4.3.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учреждений молодежной политики, приведенных в соответствие с санитарными, пожарными и иными нормативными требованиями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77264B" w:rsidRPr="007964B8" w:rsidTr="00EF297C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7.4.4.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вновь созданных объектов, муниципальных учреждений по работе с  молодежью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Акт ввода в эксплуатацию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8.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8. Осуществление эффективной деятельности муниципальных казенных учреждений</w:t>
            </w:r>
          </w:p>
        </w:tc>
      </w:tr>
      <w:tr w:rsidR="0077264B" w:rsidRPr="007964B8" w:rsidTr="00EF297C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8.1. Повышение качества оказания муниципальных услуг (работ) в социальной сфере</w:t>
            </w:r>
          </w:p>
        </w:tc>
      </w:tr>
      <w:tr w:rsidR="0077264B" w:rsidRPr="007964B8" w:rsidTr="00EF297C">
        <w:trPr>
          <w:cantSplit/>
          <w:trHeight w:val="12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8.1.1.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Достижение целевых показателей муниципальной программы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7964B8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социальной политики администрации городского округа Верхняя Пышма</w:t>
            </w:r>
          </w:p>
        </w:tc>
      </w:tr>
    </w:tbl>
    <w:p w:rsidR="0077264B" w:rsidRPr="007964B8" w:rsidRDefault="0077264B" w:rsidP="0077264B">
      <w:pPr>
        <w:rPr>
          <w:rFonts w:ascii="Liberation Serif" w:hAnsi="Liberation Serif"/>
        </w:rPr>
      </w:pPr>
    </w:p>
    <w:p w:rsidR="0077264B" w:rsidRDefault="0077264B">
      <w:pPr>
        <w:spacing w:after="160" w:line="259" w:lineRule="auto"/>
      </w:pPr>
      <w: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77264B" w:rsidRPr="001D3C3C" w:rsidTr="00EF297C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 xml:space="preserve">К постановлению администрации </w:t>
            </w:r>
            <w:r w:rsidRPr="001D3C3C">
              <w:rPr>
                <w:rFonts w:ascii="Liberation Serif" w:hAnsi="Liberation Serif"/>
                <w:sz w:val="20"/>
                <w:szCs w:val="20"/>
              </w:rPr>
              <w:br/>
              <w:t>городского округа Верхняя Пышма</w:t>
            </w:r>
            <w:r w:rsidRPr="001D3C3C">
              <w:rPr>
                <w:rFonts w:ascii="Liberation Serif" w:hAnsi="Liberation Serif"/>
                <w:sz w:val="20"/>
                <w:szCs w:val="20"/>
              </w:rPr>
              <w:br/>
              <w:t>от _________________ № ________</w:t>
            </w:r>
          </w:p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Приложение № 2</w:t>
            </w:r>
          </w:p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 xml:space="preserve"> к муниципальной программе «Развитие социальной сферы в городском округе Верхняя Пышма до 2027 года»</w:t>
            </w:r>
          </w:p>
        </w:tc>
      </w:tr>
      <w:tr w:rsidR="0077264B" w:rsidRPr="001D3C3C" w:rsidTr="00EF297C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ПЛАН МЕРОПРИЯТИЙ</w:t>
            </w:r>
          </w:p>
        </w:tc>
      </w:tr>
      <w:tr w:rsidR="0077264B" w:rsidRPr="001D3C3C" w:rsidTr="00EF297C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по выполнению муниципальной программы</w:t>
            </w:r>
          </w:p>
        </w:tc>
      </w:tr>
      <w:tr w:rsidR="0077264B" w:rsidRPr="001D3C3C" w:rsidTr="00EF297C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77264B" w:rsidRPr="001D3C3C" w:rsidRDefault="0077264B" w:rsidP="0077264B">
      <w:pPr>
        <w:rPr>
          <w:rFonts w:ascii="Liberation Serif" w:hAnsi="Liberation Serif"/>
          <w:sz w:val="20"/>
          <w:szCs w:val="20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77264B" w:rsidRPr="001D3C3C" w:rsidTr="00EF297C">
        <w:trPr>
          <w:cantSplit/>
          <w:trHeight w:val="5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77264B" w:rsidRPr="001D3C3C" w:rsidTr="00EF297C">
        <w:trPr>
          <w:cantSplit/>
          <w:trHeight w:val="11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77264B" w:rsidRPr="001D3C3C" w:rsidRDefault="0077264B" w:rsidP="0077264B">
      <w:pPr>
        <w:rPr>
          <w:rFonts w:ascii="Liberation Serif" w:hAnsi="Liberation Serif"/>
          <w:sz w:val="20"/>
          <w:szCs w:val="20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77264B" w:rsidRPr="001D3C3C" w:rsidTr="00EF297C">
        <w:trPr>
          <w:cantSplit/>
          <w:trHeight w:val="25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77264B" w:rsidRPr="001D3C3C" w:rsidTr="00EF297C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30 351 433,6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2 210 274,5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2 629 972,4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2 935 219,1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3 680 198,0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3 977 110,9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4 021 229,1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4 157 281,9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256 911,4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13 838 845,3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1 734 900,5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1 834 224,6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1 940 502,9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16 255 526,9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1 136 863,3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1 373 735,2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1 591 489,7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1 973 052,9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2 242 029,5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2 187 004,5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2 216 779,0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1 769 619,6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49 080,1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49 080,1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30 302 353,5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2 208 451,4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2 629 736,7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2 934 671,7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3 633 724,1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3 977 110,9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4 021 229,1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4 157 281,9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256 911,4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13 838 845,3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1 734 900,5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1 834 224,6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1 940 502,9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16 255 526,9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1 135 040,2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1 373 499,4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1 590 942,4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1 926 579,0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2 242 029,5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2 187 004,5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2 216 779,0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1 769 619,6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1.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21 460 448,0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2 784 917,3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2 883 336,0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3 000 961,3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60 196,2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12 631 297,1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1 592 265,0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1 689 726,0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1 790 225,0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8 768 954,8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1 192 652,3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1 193 610,0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1 210 736,3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21 460 448,0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2 784 917,3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2 883 336,0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3 000 961,3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60 196,2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12 631 297,1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1 592 265,0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1 689 726,0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1 790 225,0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8 768 954,8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1 192 652,3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1 193 610,0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1 210 736,3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1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20 797,3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20 797,3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3 830,0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2 340,0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11 996,7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11 996,7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8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23 076,2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23 076,2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2 272,2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28 912,4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4 242,0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28 912,4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4 242,0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3 830,8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9 914 279,7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807 956,2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874 997,1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942 355,5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1 032 005,8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1 135 149,8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1 261 820,3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1 320 488,0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1 377 513,1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1 161 993,9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6 613 983,5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532 977,0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574 410,0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630 643,5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689 297,5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755 869,5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826 014,0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877 965,0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929 889,0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796 918,0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3 300 296,2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274 979,2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300 587,1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311 712,0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342 708,3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379 280,3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435 806,3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442 523,0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447 624,1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365 075,9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6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13 216,8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32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389,1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4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86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9 127 941,7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799 878,6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827 202,6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943 447,0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1 084 964,2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1 212 738,3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1 275 169,3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1 331 653,9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1 093 341,4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60 196,2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5 998 228,6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621 114,9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727 573,3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763 364,0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811 761,0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860 336,0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710 242,0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3 069 516,9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449 374,3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463 408,3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471 317,9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383 099,4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70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8 929 907,9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786 073,5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784 589,4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897 783,4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1 034 560,4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1 212 738,3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1 275 169,3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1 331 653,9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1 047 793,4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5 860 391,0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575 451,2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680 947,4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763 364,0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811 761,0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860 336,0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664 694,0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3 069 516,9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449 374,3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463 408,3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471 317,9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383 099,4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427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193 062,2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45 548,0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56 418,3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136 643,9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45 548,0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8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4 971,6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3 777,9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1 193,7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346 762,0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29 385,6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29 633,2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34 220,4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41 870,3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46 026,7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40 276,6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15 690,6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3 176,2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2 331,6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2 081,3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2 327,5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331 071,4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26 209,4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27 301,6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32 139,1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35 786,4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38 983,3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43 139,7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43 782,1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40 276,6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589 614,6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42 973,3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63 617,4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89 285,3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92 662,2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89 091,5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587 128,3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40 487,0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63 617,4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89 285,3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92 662,2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89 091,5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105 677,7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10 138,4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10 027,3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12 900,0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13 545,0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15 845,4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105 158,7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9 619,4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10 027,3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12 900,0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13 545,0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15 845,4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27 470,2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27 470,2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4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385 926,2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8 982,0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385 926,2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8 982,0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86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27 225,8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3 121,2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27 225,8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3 060,0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3 121,2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40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4 385,4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4 385,4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596,7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6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652,0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4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43 786,8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35 086,6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35 086,6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4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7 116,4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1.13.2., 1.13.7.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7 116,4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183 354,1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47 979,7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183 354,1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47 979,7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23 349,7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30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224 588,4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224 588,4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99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233 883,7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233 883,7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9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76 761,6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23 900,0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76 761,6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23 900,0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32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2 858,9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2 858,9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193,9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369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4 603,3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81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1 096 263,1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110 557,5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111 032,6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115 082,6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189 886,4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773 108,4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90 890,0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94 526,0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98 307,0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133 268,3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19 667,5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1 096 263,1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110 557,5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111 032,6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115 082,6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189 886,4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773 108,4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90 890,0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94 526,0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98 307,0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133 268,3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19 667,5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70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совершенствованию питания учащихся  образовательных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373,0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7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Замена столовой посуды, столовых приборов, кухонного инвентаря, технологического оборудования,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13 783,9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13 783,9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2 768,1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2 768,1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2 218,0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1 061 455,5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81 286,7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113 232,9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157 627,5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104 080,7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107 980,6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112 030,6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179 956,2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189 886,4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773 108,4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90 890,0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94 526,0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98 307,0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98 460,7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13 190,7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13 454,6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13 723,6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10 255,7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0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2.5.1. Организация питания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773 523,8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53 766,8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65 269,4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89 738,1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104 080,7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107 980,6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112 030,6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102 835,7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675 063,1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54 027,1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43 167,0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54 322,0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90 890,0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94 526,0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98 307,0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98 460,7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13 190,7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13 454,6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13 723,6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10 255,7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37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287 931,7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21 455,7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59 466,1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189 886,4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98 045,3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7 080,4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28 964,9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1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15 664,6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15 664,6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3.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9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39 243,8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5 932,5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36 003,6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5 688,9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39 243,8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36 003,6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5 688,9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1 278,0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1 278,0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4 126,7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1 660,6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4 126,7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1 660,6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905,7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8 640,6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268,7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8 371,9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5 042,5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комиссии),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3.8. Организация и проведение военно – спортивных игр (ВСИ) муниципального уровня,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2 958,2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3.9. Участие молодых граждан в военно – спортивных играх и оборонно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4 981,5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1 691,5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38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1 440,0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3.11. Подготовка комплекта документов и проведение экспертизы для присвоения почетного звания "Город трудовой доблести"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4.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1 570 419,8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104 230,6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107 596,2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145 436,9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242 327,6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211 771,6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28 872,8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1 535 236,2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95 068,3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107 421,0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130 274,9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232 380,4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211 534,6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1 525 839,8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102 407,5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107 360,5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144 889,5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200 353,7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211 771,6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28 872,8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1 490 656,1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93 245,2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107 185,3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129 727,5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190 406,5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211 534,6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8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415 664,3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53 576,4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56 456,5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59 508,7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52 071,6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415 664,3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53 576,4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56 456,5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59 508,7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52 071,6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4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129 889,8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18 780,4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20 385,7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129 889,8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18 780,4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19 500,0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20 385,7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15 072,0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797 858,3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117 873,7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121 540,3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127 616,2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91 805,5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797 858,3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117 873,7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121 540,3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127 616,2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91 805,5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42 011,9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9 232,0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40 911,9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3 688,9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4 977,3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8 732,0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849,2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35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(гидропромывка,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2 400,4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2 400,4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797,6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71 871,7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4 054,1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71 871,7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14 052,0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4 054,1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31 765,6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31 765,6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5 408,8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6 287,2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27 391,5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27 391,5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40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4.2.7.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4.14. 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4.16. Модернизация библиотек в части комплектования книжных фондов на условиях софинансирования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4.1.8.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5.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906 915,4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135 598,1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123 329,0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110 249,9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114 488,8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389 120,7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50 319,3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517 794,8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79 784,1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73 009,7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60 277,3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62 517,9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5.12. Проектирование газовой блочно-модульной котельной в муниципальном автономном учреждении "Загородный оздоровительный лагерь "Медная горка"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902 415,4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131 098,1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123 329,0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110 249,9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114 488,8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389 120,7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50 319,3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513 294,8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75 284,1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73 009,7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60 277,3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62 517,9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767 801,3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63 214,6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82 188,4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102 076,1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100 785,8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104 589,4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108 772,4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100 134,1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355 484,0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29 866,0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28 550,8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37 816,6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48 700,5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48 050,8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49 972,6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51 970,9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48 356,5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412 317,2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33 348,6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28 023,1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37 267,2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44 371,8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53 375,6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52 735,0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54 616,8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56 801,5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51 777,6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21 588,6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2 996,6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14 125,3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2 300,9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3 411,0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3 893,0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4 520,4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7 463,3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758,2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1 266,6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1 360,5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1 416,4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742,5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57 825,9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14 451,2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9 501,3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5 650,3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19 511,4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5 688,5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4 162,1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4 799,2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2 593,1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2 268,5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38 314,5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8 762,7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9 059,5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4 702,1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3 057,2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3 268,2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11 631,1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3 708,5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11 631,1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3 708,5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5 499,1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32 106,7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32 106,7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10 518,0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6.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3 770 378,2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536 680,9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517,9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2525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3 767 335,3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536 184,5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3 770 378,2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536 680,9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517,9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2525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3 767 335,3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536 184,5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28 767,8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5 394,0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28 767,8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5 394,0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2 700,0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(физкультурно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151 223,8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20 543,7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151 223,8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20 543,7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достигших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2 900,0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182 269,0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26 877,7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25 720,4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182 269,0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26 877,7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25 720,4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169 371,2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25 501,4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25 697,3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169 371,2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25 501,4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25 697,3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110 169,7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47 761,0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4 354,0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110 169,7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47 761,0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4 354,0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4 509,0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2 798 704,3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402 800,0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340 791,5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2 798 704,3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402 800,0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340 791,5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6.14. Внедрение всероссийского физкультурно - спортивного комплекса "Готов к труду и обороне"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36 793,0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3 185,0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801,5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35 991,5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3 152,2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4 518,1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6.3.3.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8 766,1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13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6.17. 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1 723,2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1D3C3C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  <w:r w:rsidRPr="001D3C3C">
              <w:rPr>
                <w:rFonts w:ascii="Liberation Serif" w:hAnsi="Liberation Serif"/>
                <w:sz w:val="20"/>
                <w:szCs w:val="20"/>
              </w:rPr>
              <w:t>,</w:t>
            </w:r>
            <w:r w:rsidRPr="001D3C3C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688,3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6.18.  Ремонт спортивной школы имени Александра Козицына муниципального автономного учреждения "Спортивная школа имени Александра Козицына", Свердловская область, г. Верхняя Пышма, Успенский проспект, д. 4,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243,3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7. «МОЛОДЕЖЬ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86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482 503,9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64 325,3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471 680,4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63 695,2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482 503,9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64 325,3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471 680,4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63 695,2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555,9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7.2. Участие молодежных делегаций в областных, региональных, федеральных мероприятиях,всего,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12 466,0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1 430,4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12 466,0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1 430,4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5 541,1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5 152,7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1 189,8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7 263,3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1 189,8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331 203,5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28 018,4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41 567,0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43 645,4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45 827,6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40 363,1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331 189,0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28 004,0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41 567,0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43 645,4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45 827,6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40 363,1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81 139,0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7 725,1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81 139,0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7 725,1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"Безопасность жизни"),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7 406,3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2 289,3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400,7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5 117,0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7.11. Реализация проекта "Банк молодежных инициатив",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706,0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2 848,5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2 848,5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335,3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(гидропромывка,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2 557,2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24 046,2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6 015,5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7 128,6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2 846,1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2 782,5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16 917,6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1 582,0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3 169,4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"коворкинг-центров", всего, в том числе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248,6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121,9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1 805,0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8.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1 025 261,4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139 596,8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1 025 253,7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139 596,8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264B" w:rsidRPr="001D3C3C" w:rsidRDefault="0077264B" w:rsidP="00EF297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1 025 261,4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139 596,8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1 025 253,7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139 596,8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285 590,9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37 739,0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38 800,4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39 904,2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35 808,1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285 590,9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37 739,0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38 800,4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39 904,2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35 808,1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182 628,1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20 589,7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21 335,2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21 725,8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20 915,7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182 628,1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20 589,7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21 335,2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21 725,8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20 915,7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553 656,7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39 275,2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81 268,1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81 621,8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83 131,2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55 745,4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553 649,0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39 267,6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81 268,1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81 621,8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83 131,2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55 745,4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7264B" w:rsidRPr="001D3C3C" w:rsidTr="00EF297C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77264B" w:rsidRPr="001D3C3C" w:rsidTr="00EF297C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B" w:rsidRPr="001D3C3C" w:rsidRDefault="0077264B" w:rsidP="00EF297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B" w:rsidRPr="001D3C3C" w:rsidRDefault="0077264B" w:rsidP="00EF297C">
            <w:pPr>
              <w:rPr>
                <w:rFonts w:ascii="Liberation Serif" w:hAnsi="Liberation Serif"/>
                <w:sz w:val="20"/>
                <w:szCs w:val="20"/>
              </w:rPr>
            </w:pPr>
            <w:r w:rsidRPr="001D3C3C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77264B" w:rsidRPr="001D3C3C" w:rsidRDefault="0077264B" w:rsidP="0077264B">
      <w:pPr>
        <w:rPr>
          <w:rFonts w:ascii="Liberation Serif" w:hAnsi="Liberation Serif"/>
          <w:sz w:val="20"/>
          <w:szCs w:val="20"/>
        </w:rPr>
      </w:pPr>
    </w:p>
    <w:p w:rsidR="0016507E" w:rsidRDefault="0016507E">
      <w:bookmarkStart w:id="1" w:name="_GoBack"/>
      <w:bookmarkEnd w:id="1"/>
    </w:p>
    <w:sectPr w:rsidR="0016507E" w:rsidSect="00E050B5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36F8F"/>
    <w:multiLevelType w:val="hybridMultilevel"/>
    <w:tmpl w:val="20D8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3789D"/>
    <w:multiLevelType w:val="hybridMultilevel"/>
    <w:tmpl w:val="CAF21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8D"/>
    <w:rsid w:val="0016507E"/>
    <w:rsid w:val="0077264B"/>
    <w:rsid w:val="00E4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ED978-D80D-4D7E-86AF-2052B8D5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akeCharacterStyle">
    <w:name w:val="FakeCharacterStyle"/>
    <w:hidden/>
    <w:rsid w:val="0077264B"/>
    <w:rPr>
      <w:sz w:val="1"/>
      <w:szCs w:val="1"/>
    </w:rPr>
  </w:style>
  <w:style w:type="paragraph" w:customStyle="1" w:styleId="ParagraphStyle1">
    <w:name w:val="ParagraphStyle1"/>
    <w:hidden/>
    <w:rsid w:val="0077264B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hidden/>
    <w:rsid w:val="0077264B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4">
    <w:name w:val="ParagraphStyle4"/>
    <w:hidden/>
    <w:rsid w:val="0077264B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hidden/>
    <w:rsid w:val="0077264B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6">
    <w:name w:val="ParagraphStyle6"/>
    <w:hidden/>
    <w:rsid w:val="0077264B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9">
    <w:name w:val="ParagraphStyle9"/>
    <w:hidden/>
    <w:rsid w:val="0077264B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hidden/>
    <w:rsid w:val="0077264B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hidden/>
    <w:rsid w:val="0077264B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">
    <w:name w:val="CharacterStyle1"/>
    <w:hidden/>
    <w:rsid w:val="0077264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77264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sid w:val="0077264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sid w:val="0077264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sid w:val="0077264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sid w:val="0077264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sid w:val="0077264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77264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styleId="a3">
    <w:name w:val="Hyperlink"/>
    <w:basedOn w:val="a0"/>
    <w:uiPriority w:val="99"/>
    <w:semiHidden/>
    <w:unhideWhenUsed/>
    <w:rsid w:val="007726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7264B"/>
    <w:rPr>
      <w:color w:val="800080"/>
      <w:u w:val="single"/>
    </w:rPr>
  </w:style>
  <w:style w:type="paragraph" w:customStyle="1" w:styleId="xl65">
    <w:name w:val="xl65"/>
    <w:basedOn w:val="a"/>
    <w:rsid w:val="00772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6">
    <w:name w:val="xl66"/>
    <w:basedOn w:val="a"/>
    <w:rsid w:val="00772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772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772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9">
    <w:name w:val="xl69"/>
    <w:basedOn w:val="a"/>
    <w:rsid w:val="00772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a"/>
    <w:rsid w:val="00772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1">
    <w:name w:val="xl71"/>
    <w:basedOn w:val="a"/>
    <w:rsid w:val="00772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772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3">
    <w:name w:val="xl73"/>
    <w:basedOn w:val="a"/>
    <w:rsid w:val="00772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rsid w:val="007726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772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a"/>
    <w:rsid w:val="00772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77264B"/>
    <w:pPr>
      <w:contextualSpacing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77264B"/>
    <w:rPr>
      <w:rFonts w:ascii="Segoe UI" w:hAnsi="Segoe UI" w:cs="Segoe UI"/>
      <w:sz w:val="18"/>
      <w:szCs w:val="18"/>
    </w:rPr>
  </w:style>
  <w:style w:type="paragraph" w:customStyle="1" w:styleId="xl77">
    <w:name w:val="xl77"/>
    <w:basedOn w:val="a"/>
    <w:rsid w:val="00772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772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772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0">
    <w:name w:val="xl80"/>
    <w:basedOn w:val="a"/>
    <w:rsid w:val="00772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772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772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772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772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7726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7726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7726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7">
    <w:name w:val="List Paragraph"/>
    <w:basedOn w:val="a"/>
    <w:uiPriority w:val="34"/>
    <w:qFormat/>
    <w:rsid w:val="0077264B"/>
    <w:pPr>
      <w:spacing w:after="160" w:line="259" w:lineRule="auto"/>
      <w:ind w:left="720"/>
      <w:contextualSpacing/>
    </w:pPr>
    <w:rPr>
      <w:rFonts w:eastAsiaTheme="minorHAnsi"/>
      <w:sz w:val="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81</Pages>
  <Words>14869</Words>
  <Characters>84756</Characters>
  <Application>Microsoft Office Word</Application>
  <DocSecurity>0</DocSecurity>
  <Lines>706</Lines>
  <Paragraphs>198</Paragraphs>
  <ScaleCrop>false</ScaleCrop>
  <Company/>
  <LinksUpToDate>false</LinksUpToDate>
  <CharactersWithSpaces>99427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2024-02-14T12:39:00Z</dcterms:created>
  <dcterms:modified xsi:type="dcterms:W3CDTF">2024-02-14T12:40:00Z</dcterms:modified>
</cp:coreProperties>
</file>