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913" w:rsidRPr="004E410B" w:rsidRDefault="00893913" w:rsidP="00893913">
      <w:pPr>
        <w:rPr>
          <w:sz w:val="8"/>
          <w:szCs w:val="8"/>
        </w:rPr>
      </w:pPr>
    </w:p>
    <w:tbl>
      <w:tblPr>
        <w:tblW w:w="5000" w:type="pct"/>
        <w:tblCellMar>
          <w:left w:w="0" w:type="dxa"/>
          <w:right w:w="0" w:type="dxa"/>
        </w:tblCellMar>
        <w:tblLook w:val="04A0" w:firstRow="1" w:lastRow="0" w:firstColumn="1" w:lastColumn="0" w:noHBand="0" w:noVBand="1"/>
      </w:tblPr>
      <w:tblGrid>
        <w:gridCol w:w="285"/>
        <w:gridCol w:w="1854"/>
        <w:gridCol w:w="428"/>
        <w:gridCol w:w="570"/>
        <w:gridCol w:w="6500"/>
      </w:tblGrid>
      <w:tr w:rsidR="00893913" w:rsidRPr="004E410B" w:rsidTr="001D3D93">
        <w:tc>
          <w:tcPr>
            <w:tcW w:w="9639" w:type="dxa"/>
            <w:gridSpan w:val="5"/>
          </w:tcPr>
          <w:p w:rsidR="00893913" w:rsidRDefault="00893913" w:rsidP="001D3D93">
            <w:pPr>
              <w:jc w:val="center"/>
              <w:rPr>
                <w:b/>
                <w:sz w:val="22"/>
                <w:szCs w:val="22"/>
              </w:rPr>
            </w:pPr>
          </w:p>
          <w:p w:rsidR="00893913" w:rsidRDefault="00893913" w:rsidP="001D3D93">
            <w:pPr>
              <w:ind w:left="-57"/>
              <w:jc w:val="center"/>
              <w:rPr>
                <w:b/>
                <w:spacing w:val="2"/>
                <w:sz w:val="28"/>
                <w:szCs w:val="28"/>
              </w:rPr>
            </w:pPr>
          </w:p>
          <w:p w:rsidR="00893913" w:rsidRPr="00070D96" w:rsidRDefault="00893913" w:rsidP="001D3D93">
            <w:pPr>
              <w:ind w:left="-57"/>
              <w:jc w:val="center"/>
              <w:rPr>
                <w:b/>
                <w:spacing w:val="2"/>
                <w:sz w:val="32"/>
                <w:szCs w:val="32"/>
              </w:rPr>
            </w:pPr>
          </w:p>
        </w:tc>
      </w:tr>
      <w:tr w:rsidR="00893913" w:rsidRPr="004E410B" w:rsidTr="001D3D93">
        <w:trPr>
          <w:trHeight w:val="524"/>
        </w:trPr>
        <w:tc>
          <w:tcPr>
            <w:tcW w:w="9639" w:type="dxa"/>
            <w:gridSpan w:val="5"/>
          </w:tcPr>
          <w:p w:rsidR="00893913" w:rsidRDefault="00893913" w:rsidP="001D3D93">
            <w:pPr>
              <w:tabs>
                <w:tab w:val="left" w:leader="underscore" w:pos="9639"/>
              </w:tabs>
              <w:jc w:val="center"/>
              <w:rPr>
                <w:b/>
                <w:sz w:val="28"/>
                <w:szCs w:val="28"/>
              </w:rPr>
            </w:pPr>
            <w:r w:rsidRPr="00D53649">
              <w:rPr>
                <w:b/>
                <w:sz w:val="28"/>
                <w:szCs w:val="28"/>
              </w:rPr>
              <w:t xml:space="preserve">АДМИНИСТРАЦИЯ ГОРОДСКОГО ОКРУГА </w:t>
            </w:r>
          </w:p>
          <w:p w:rsidR="00893913" w:rsidRPr="006B6949" w:rsidRDefault="00893913" w:rsidP="001D3D93">
            <w:pPr>
              <w:tabs>
                <w:tab w:val="left" w:leader="underscore" w:pos="9639"/>
              </w:tabs>
              <w:jc w:val="center"/>
              <w:rPr>
                <w:b/>
              </w:rPr>
            </w:pPr>
            <w:r w:rsidRPr="00D53649">
              <w:rPr>
                <w:b/>
                <w:sz w:val="28"/>
                <w:szCs w:val="28"/>
              </w:rPr>
              <w:t>Верхняя Пышма</w:t>
            </w:r>
          </w:p>
          <w:p w:rsidR="00893913" w:rsidRDefault="00893913" w:rsidP="001D3D93">
            <w:pPr>
              <w:jc w:val="center"/>
              <w:rPr>
                <w:b/>
                <w:spacing w:val="40"/>
                <w:sz w:val="34"/>
                <w:szCs w:val="34"/>
              </w:rPr>
            </w:pPr>
            <w:r>
              <w:rPr>
                <w:b/>
                <w:spacing w:val="80"/>
                <w:sz w:val="32"/>
                <w:szCs w:val="32"/>
              </w:rPr>
              <w:t>ПОСТАНОВЛЕНИЕ</w:t>
            </w:r>
          </w:p>
          <w:p w:rsidR="00893913" w:rsidRPr="000B3D44" w:rsidRDefault="00893913" w:rsidP="001D3D93">
            <w:pPr>
              <w:jc w:val="center"/>
              <w:rPr>
                <w:b/>
                <w:spacing w:val="40"/>
                <w:sz w:val="34"/>
                <w:szCs w:val="34"/>
              </w:rPr>
            </w:pPr>
            <w:r w:rsidRPr="00D50715">
              <w:rPr>
                <w:b/>
                <w:noProof/>
                <w:sz w:val="28"/>
                <w:szCs w:val="28"/>
              </w:rPr>
              <mc:AlternateContent>
                <mc:Choice Requires="wps">
                  <w:drawing>
                    <wp:anchor distT="0" distB="0" distL="114300" distR="114300" simplePos="0" relativeHeight="251660288" behindDoc="0" locked="0" layoutInCell="1" allowOverlap="1" wp14:anchorId="5353E423" wp14:editId="54640222">
                      <wp:simplePos x="0" y="0"/>
                      <wp:positionH relativeFrom="column">
                        <wp:posOffset>267970</wp:posOffset>
                      </wp:positionH>
                      <wp:positionV relativeFrom="paragraph">
                        <wp:posOffset>46990</wp:posOffset>
                      </wp:positionV>
                      <wp:extent cx="5760085" cy="0"/>
                      <wp:effectExtent l="25400" t="19050" r="24765"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151168"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C5sCiGHgIAADsEAAAOAAAAAAAAAAAAAAAAAC4CAABkcnMvZTJvRG9jLnhtbFBLAQItABQA&#10;BgAIAAAAIQCEDRZj2QAAAAYBAAAPAAAAAAAAAAAAAAAAAHgEAABkcnMvZG93bnJldi54bWxQSwUG&#10;AAAAAAQABADzAAAAfgUAAAAA&#10;" strokeweight="3pt">
                      <v:stroke linestyle="thickThin"/>
                    </v:line>
                  </w:pict>
                </mc:Fallback>
              </mc:AlternateContent>
            </w:r>
          </w:p>
        </w:tc>
      </w:tr>
      <w:tr w:rsidR="00893913" w:rsidRPr="004E410B" w:rsidTr="001D3D93">
        <w:trPr>
          <w:trHeight w:val="524"/>
        </w:trPr>
        <w:tc>
          <w:tcPr>
            <w:tcW w:w="285" w:type="dxa"/>
            <w:vAlign w:val="bottom"/>
          </w:tcPr>
          <w:p w:rsidR="00893913" w:rsidRPr="000B3D44" w:rsidRDefault="00893913" w:rsidP="001D3D93">
            <w:pPr>
              <w:tabs>
                <w:tab w:val="left" w:leader="underscore" w:pos="9639"/>
              </w:tabs>
              <w:rPr>
                <w:szCs w:val="28"/>
              </w:rPr>
            </w:pPr>
            <w:r w:rsidRPr="000B3D44">
              <w:rPr>
                <w:szCs w:val="28"/>
              </w:rPr>
              <w:t>от</w:t>
            </w:r>
          </w:p>
        </w:tc>
        <w:tc>
          <w:tcPr>
            <w:tcW w:w="1854" w:type="dxa"/>
            <w:tcBorders>
              <w:bottom w:val="single" w:sz="4" w:space="0" w:color="auto"/>
            </w:tcBorders>
            <w:vAlign w:val="bottom"/>
          </w:tcPr>
          <w:p w:rsidR="00893913" w:rsidRPr="000B3D44" w:rsidRDefault="003F4B31" w:rsidP="001D3D93">
            <w:pPr>
              <w:tabs>
                <w:tab w:val="left" w:leader="underscore" w:pos="9639"/>
              </w:tabs>
              <w:jc w:val="center"/>
              <w:rPr>
                <w:b/>
                <w:szCs w:val="28"/>
              </w:rPr>
            </w:pPr>
            <w:r>
              <w:fldChar w:fldCharType="begin"/>
            </w:r>
            <w:r>
              <w:instrText xml:space="preserve"> DOCPROPERTY  Рег.дата  \* MERGEFORMAT </w:instrText>
            </w:r>
            <w:r>
              <w:fldChar w:fldCharType="separate"/>
            </w:r>
            <w:r w:rsidR="00893913" w:rsidRPr="00C024F2">
              <w:t xml:space="preserve"> </w:t>
            </w:r>
            <w:r>
              <w:fldChar w:fldCharType="end"/>
            </w:r>
          </w:p>
        </w:tc>
        <w:tc>
          <w:tcPr>
            <w:tcW w:w="428" w:type="dxa"/>
            <w:vAlign w:val="bottom"/>
          </w:tcPr>
          <w:p w:rsidR="00893913" w:rsidRPr="000B3D44" w:rsidRDefault="00893913" w:rsidP="001D3D93">
            <w:pPr>
              <w:tabs>
                <w:tab w:val="left" w:leader="underscore" w:pos="9639"/>
              </w:tabs>
              <w:jc w:val="center"/>
              <w:rPr>
                <w:b/>
                <w:szCs w:val="28"/>
              </w:rPr>
            </w:pPr>
            <w:r w:rsidRPr="000B3D44">
              <w:rPr>
                <w:szCs w:val="28"/>
              </w:rPr>
              <w:t>№</w:t>
            </w:r>
          </w:p>
        </w:tc>
        <w:tc>
          <w:tcPr>
            <w:tcW w:w="570" w:type="dxa"/>
            <w:tcBorders>
              <w:bottom w:val="single" w:sz="4" w:space="0" w:color="auto"/>
            </w:tcBorders>
            <w:vAlign w:val="bottom"/>
          </w:tcPr>
          <w:p w:rsidR="00893913" w:rsidRPr="000B3D44" w:rsidRDefault="003F4B31" w:rsidP="001D3D93">
            <w:pPr>
              <w:tabs>
                <w:tab w:val="left" w:leader="underscore" w:pos="9639"/>
              </w:tabs>
              <w:jc w:val="center"/>
              <w:rPr>
                <w:b/>
                <w:szCs w:val="28"/>
              </w:rPr>
            </w:pPr>
            <w:r>
              <w:fldChar w:fldCharType="begin"/>
            </w:r>
            <w:r>
              <w:instrText xml:space="preserve"> DOCPROPERTY  Рег.№  \* MERGEFORMAT </w:instrText>
            </w:r>
            <w:r>
              <w:fldChar w:fldCharType="separate"/>
            </w:r>
            <w:r w:rsidR="00893913" w:rsidRPr="00C024F2">
              <w:t xml:space="preserve"> </w:t>
            </w:r>
            <w:r>
              <w:fldChar w:fldCharType="end"/>
            </w:r>
          </w:p>
        </w:tc>
        <w:tc>
          <w:tcPr>
            <w:tcW w:w="6502" w:type="dxa"/>
            <w:vAlign w:val="bottom"/>
          </w:tcPr>
          <w:p w:rsidR="00893913" w:rsidRPr="000B3D44" w:rsidRDefault="00893913" w:rsidP="001D3D93">
            <w:pPr>
              <w:tabs>
                <w:tab w:val="left" w:leader="underscore" w:pos="9639"/>
              </w:tabs>
              <w:jc w:val="center"/>
              <w:rPr>
                <w:b/>
                <w:szCs w:val="28"/>
              </w:rPr>
            </w:pPr>
            <w:bookmarkStart w:id="0" w:name="_GoBack"/>
            <w:bookmarkEnd w:id="0"/>
          </w:p>
        </w:tc>
      </w:tr>
      <w:tr w:rsidR="00893913" w:rsidRPr="004E410B" w:rsidTr="001D3D93">
        <w:trPr>
          <w:trHeight w:val="130"/>
        </w:trPr>
        <w:tc>
          <w:tcPr>
            <w:tcW w:w="9639" w:type="dxa"/>
            <w:gridSpan w:val="5"/>
          </w:tcPr>
          <w:p w:rsidR="00893913" w:rsidRPr="000B3D44" w:rsidRDefault="00893913" w:rsidP="001D3D93">
            <w:pPr>
              <w:rPr>
                <w:sz w:val="20"/>
                <w:szCs w:val="28"/>
              </w:rPr>
            </w:pPr>
          </w:p>
        </w:tc>
      </w:tr>
      <w:tr w:rsidR="00893913" w:rsidRPr="004E410B" w:rsidTr="001D3D93">
        <w:tc>
          <w:tcPr>
            <w:tcW w:w="9639" w:type="dxa"/>
            <w:gridSpan w:val="5"/>
          </w:tcPr>
          <w:p w:rsidR="00893913" w:rsidRDefault="00893913" w:rsidP="001D3D93">
            <w:pPr>
              <w:rPr>
                <w:sz w:val="20"/>
                <w:szCs w:val="28"/>
              </w:rPr>
            </w:pPr>
            <w:r>
              <w:rPr>
                <w:sz w:val="20"/>
                <w:szCs w:val="28"/>
              </w:rPr>
              <w:t>г</w:t>
            </w:r>
            <w:r w:rsidRPr="000B3D44">
              <w:rPr>
                <w:sz w:val="20"/>
                <w:szCs w:val="28"/>
              </w:rPr>
              <w:t>. Верхняя Пышма</w:t>
            </w:r>
          </w:p>
          <w:p w:rsidR="00893913" w:rsidRPr="008F4A19" w:rsidRDefault="00893913" w:rsidP="001D3D93">
            <w:pPr>
              <w:rPr>
                <w:sz w:val="28"/>
                <w:szCs w:val="28"/>
              </w:rPr>
            </w:pPr>
          </w:p>
          <w:p w:rsidR="00893913" w:rsidRPr="008F4A19" w:rsidRDefault="00893913" w:rsidP="001D3D93">
            <w:pPr>
              <w:rPr>
                <w:sz w:val="28"/>
                <w:szCs w:val="28"/>
              </w:rPr>
            </w:pPr>
          </w:p>
        </w:tc>
      </w:tr>
      <w:tr w:rsidR="00893913" w:rsidRPr="004E410B" w:rsidTr="001D3D93">
        <w:tc>
          <w:tcPr>
            <w:tcW w:w="9639" w:type="dxa"/>
            <w:gridSpan w:val="5"/>
          </w:tcPr>
          <w:p w:rsidR="00893913" w:rsidRPr="009A7DD3" w:rsidRDefault="00893913" w:rsidP="00893913">
            <w:pPr>
              <w:jc w:val="center"/>
              <w:rPr>
                <w:b/>
                <w:i/>
                <w:sz w:val="28"/>
                <w:szCs w:val="28"/>
              </w:rPr>
            </w:pPr>
            <w:r w:rsidRPr="009A7DD3">
              <w:rPr>
                <w:b/>
                <w:i/>
                <w:sz w:val="28"/>
                <w:szCs w:val="28"/>
              </w:rPr>
              <w:t xml:space="preserve">Об утверждении </w:t>
            </w:r>
            <w:r>
              <w:rPr>
                <w:b/>
                <w:i/>
                <w:sz w:val="28"/>
                <w:szCs w:val="28"/>
              </w:rPr>
              <w:t xml:space="preserve">Порядка </w:t>
            </w:r>
            <w:r w:rsidRPr="009A7DD3">
              <w:rPr>
                <w:b/>
                <w:i/>
                <w:sz w:val="28"/>
                <w:szCs w:val="28"/>
              </w:rPr>
              <w:t>принятия решений о заключении муниципальных контрактов на выполнение работ, оказание услуг для обеспечения муниципальных нужд городского округа Верхняя Пышма, длительность производственного цикла выполнения, оказания которых превышает срок действия утвержденных лимитов бюджетных обязательств</w:t>
            </w:r>
          </w:p>
        </w:tc>
      </w:tr>
      <w:tr w:rsidR="00893913" w:rsidRPr="004E410B" w:rsidTr="001D3D93">
        <w:tc>
          <w:tcPr>
            <w:tcW w:w="9639" w:type="dxa"/>
            <w:gridSpan w:val="5"/>
          </w:tcPr>
          <w:p w:rsidR="00893913" w:rsidRDefault="00893913" w:rsidP="001D3D93">
            <w:pPr>
              <w:jc w:val="both"/>
              <w:rPr>
                <w:sz w:val="28"/>
                <w:szCs w:val="28"/>
              </w:rPr>
            </w:pPr>
          </w:p>
          <w:p w:rsidR="00893913" w:rsidRDefault="00893913" w:rsidP="001D3D93">
            <w:pPr>
              <w:jc w:val="both"/>
              <w:rPr>
                <w:sz w:val="28"/>
                <w:szCs w:val="28"/>
              </w:rPr>
            </w:pPr>
          </w:p>
          <w:p w:rsidR="00893913" w:rsidRPr="008F4A19" w:rsidRDefault="00893913" w:rsidP="001D3D93">
            <w:pPr>
              <w:ind w:firstLine="709"/>
              <w:jc w:val="both"/>
              <w:rPr>
                <w:sz w:val="28"/>
                <w:szCs w:val="28"/>
              </w:rPr>
            </w:pPr>
            <w:r>
              <w:rPr>
                <w:sz w:val="28"/>
                <w:szCs w:val="28"/>
              </w:rPr>
              <w:t xml:space="preserve">В соответствии с </w:t>
            </w:r>
            <w:hyperlink r:id="rId7" w:history="1">
              <w:r w:rsidRPr="00893913">
                <w:rPr>
                  <w:rStyle w:val="a3"/>
                  <w:color w:val="auto"/>
                  <w:sz w:val="28"/>
                  <w:szCs w:val="28"/>
                  <w:u w:val="none"/>
                </w:rPr>
                <w:t>пунктом 3 статьи 72</w:t>
              </w:r>
            </w:hyperlink>
            <w:r w:rsidRPr="00893913">
              <w:rPr>
                <w:sz w:val="28"/>
                <w:szCs w:val="28"/>
              </w:rPr>
              <w:t xml:space="preserve"> </w:t>
            </w:r>
            <w:r>
              <w:rPr>
                <w:sz w:val="28"/>
                <w:szCs w:val="28"/>
              </w:rPr>
              <w:t>Бюджетного кодекса Российской Федерации, руководствуясь статьей 28 Устава городского округа Верхняя Пышма, администрация городского округа Верхняя Пышма</w:t>
            </w:r>
          </w:p>
        </w:tc>
      </w:tr>
    </w:tbl>
    <w:p w:rsidR="00893913" w:rsidRPr="00C10A2E" w:rsidRDefault="00893913" w:rsidP="00893913">
      <w:pPr>
        <w:widowControl w:val="0"/>
        <w:jc w:val="both"/>
        <w:rPr>
          <w:sz w:val="28"/>
          <w:szCs w:val="28"/>
        </w:rPr>
      </w:pPr>
      <w:r w:rsidRPr="000F6970">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273"/>
        <w:gridCol w:w="3364"/>
      </w:tblGrid>
      <w:tr w:rsidR="00893913" w:rsidRPr="004E410B" w:rsidTr="001D3D93">
        <w:trPr>
          <w:trHeight w:val="975"/>
        </w:trPr>
        <w:tc>
          <w:tcPr>
            <w:tcW w:w="9637" w:type="dxa"/>
            <w:gridSpan w:val="2"/>
            <w:vAlign w:val="bottom"/>
          </w:tcPr>
          <w:p w:rsidR="00893913" w:rsidRDefault="00893913" w:rsidP="001D3D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Утвердить Порядок принятия решений о заключении муниципальных контрактов на выполнение работ, оказание услуг для обеспечения муниципальных нужд городского округа Верхняя Пышма, длительность производственного цикла выполнения, оказания которых превышает срок действия утвержденных лимитов бюджетных обязательств (прилагается).</w:t>
            </w:r>
          </w:p>
          <w:p w:rsidR="00893913" w:rsidRDefault="00893913" w:rsidP="001D3D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Опубликовать настоящее постановление на официальном интернет-портале правовой информации городского округа Верхняя Пышма (</w:t>
            </w:r>
            <w:hyperlink r:id="rId8" w:history="1">
              <w:r w:rsidRPr="00893913">
                <w:rPr>
                  <w:rStyle w:val="a3"/>
                  <w:rFonts w:ascii="Times New Roman" w:hAnsi="Times New Roman" w:cs="Times New Roman"/>
                  <w:color w:val="auto"/>
                  <w:sz w:val="28"/>
                  <w:szCs w:val="28"/>
                  <w:u w:val="none"/>
                </w:rPr>
                <w:t>www.верхняяпышма-право.рф</w:t>
              </w:r>
            </w:hyperlink>
            <w:r>
              <w:rPr>
                <w:rFonts w:ascii="Times New Roman" w:hAnsi="Times New Roman" w:cs="Times New Roman"/>
                <w:sz w:val="28"/>
                <w:szCs w:val="28"/>
              </w:rPr>
              <w:t>).</w:t>
            </w:r>
          </w:p>
          <w:p w:rsidR="00893913" w:rsidRPr="004E410B" w:rsidRDefault="00893913" w:rsidP="001D3D93">
            <w:pPr>
              <w:jc w:val="right"/>
              <w:rPr>
                <w:sz w:val="28"/>
                <w:szCs w:val="28"/>
              </w:rPr>
            </w:pPr>
          </w:p>
        </w:tc>
      </w:tr>
      <w:tr w:rsidR="00893913" w:rsidRPr="004E410B" w:rsidTr="001D3D93">
        <w:trPr>
          <w:trHeight w:val="630"/>
        </w:trPr>
        <w:tc>
          <w:tcPr>
            <w:tcW w:w="6273" w:type="dxa"/>
            <w:vAlign w:val="bottom"/>
          </w:tcPr>
          <w:p w:rsidR="00893913" w:rsidRPr="00C10A2E" w:rsidRDefault="00893913" w:rsidP="001D3D93">
            <w:pPr>
              <w:ind w:firstLine="709"/>
              <w:rPr>
                <w:sz w:val="28"/>
                <w:szCs w:val="28"/>
              </w:rPr>
            </w:pPr>
          </w:p>
          <w:p w:rsidR="00893913" w:rsidRDefault="00893913" w:rsidP="001D3D93">
            <w:pPr>
              <w:ind w:right="2587"/>
              <w:rPr>
                <w:sz w:val="28"/>
                <w:szCs w:val="28"/>
              </w:rPr>
            </w:pPr>
            <w:r w:rsidRPr="000B3D44">
              <w:rPr>
                <w:sz w:val="28"/>
                <w:szCs w:val="28"/>
              </w:rPr>
              <w:t>Глава администрации</w:t>
            </w:r>
          </w:p>
        </w:tc>
        <w:tc>
          <w:tcPr>
            <w:tcW w:w="3364" w:type="dxa"/>
            <w:vAlign w:val="bottom"/>
          </w:tcPr>
          <w:p w:rsidR="00893913" w:rsidRPr="00EC798A" w:rsidRDefault="00893913" w:rsidP="001D3D93">
            <w:pPr>
              <w:jc w:val="right"/>
              <w:rPr>
                <w:sz w:val="28"/>
                <w:szCs w:val="28"/>
              </w:rPr>
            </w:pPr>
            <w:r w:rsidRPr="00EC798A">
              <w:rPr>
                <w:sz w:val="28"/>
                <w:szCs w:val="28"/>
              </w:rPr>
              <w:t>И.В.</w:t>
            </w:r>
            <w:r>
              <w:rPr>
                <w:sz w:val="28"/>
                <w:szCs w:val="28"/>
              </w:rPr>
              <w:t xml:space="preserve"> </w:t>
            </w:r>
            <w:r w:rsidRPr="00EC798A">
              <w:rPr>
                <w:sz w:val="28"/>
                <w:szCs w:val="28"/>
              </w:rPr>
              <w:t>Соломин</w:t>
            </w:r>
          </w:p>
        </w:tc>
      </w:tr>
    </w:tbl>
    <w:p w:rsidR="00893913" w:rsidRPr="00EC798A" w:rsidRDefault="00893913" w:rsidP="00893913">
      <w:pPr>
        <w:pStyle w:val="ConsNormal"/>
        <w:widowControl/>
        <w:ind w:firstLine="0"/>
      </w:pPr>
    </w:p>
    <w:p w:rsidR="006132B9" w:rsidRDefault="003F4B31">
      <w:pPr>
        <w:rPr>
          <w:lang w:val="en-US"/>
        </w:rPr>
      </w:pPr>
    </w:p>
    <w:p w:rsidR="0036401B" w:rsidRDefault="0036401B">
      <w:pPr>
        <w:rPr>
          <w:lang w:val="en-US"/>
        </w:rPr>
      </w:pPr>
    </w:p>
    <w:p w:rsidR="0036401B" w:rsidRDefault="0036401B">
      <w:pPr>
        <w:rPr>
          <w:lang w:val="en-US"/>
        </w:rPr>
      </w:pPr>
    </w:p>
    <w:p w:rsidR="0036401B" w:rsidRDefault="0036401B">
      <w:pPr>
        <w:rPr>
          <w:lang w:val="en-US"/>
        </w:rPr>
      </w:pPr>
    </w:p>
    <w:p w:rsidR="0036401B" w:rsidRDefault="0036401B">
      <w:pPr>
        <w:rPr>
          <w:lang w:val="en-US"/>
        </w:rPr>
      </w:pPr>
    </w:p>
    <w:p w:rsidR="0036401B" w:rsidRDefault="0036401B">
      <w:pPr>
        <w:rPr>
          <w:lang w:val="en-US"/>
        </w:rPr>
      </w:pPr>
    </w:p>
    <w:p w:rsidR="0036401B" w:rsidRDefault="0036401B">
      <w:pPr>
        <w:rPr>
          <w:lang w:val="en-US"/>
        </w:rPr>
      </w:pPr>
    </w:p>
    <w:p w:rsidR="0036401B" w:rsidRDefault="0036401B">
      <w:pPr>
        <w:rPr>
          <w:lang w:val="en-US"/>
        </w:rPr>
      </w:pPr>
    </w:p>
    <w:p w:rsidR="0036401B" w:rsidRDefault="0036401B">
      <w:pPr>
        <w:rPr>
          <w:lang w:val="en-US"/>
        </w:rPr>
      </w:pPr>
    </w:p>
    <w:p w:rsidR="0036401B" w:rsidRDefault="0036401B">
      <w:pPr>
        <w:rPr>
          <w:lang w:val="en-US"/>
        </w:rPr>
      </w:pPr>
    </w:p>
    <w:p w:rsidR="0036401B" w:rsidRDefault="0036401B">
      <w:pPr>
        <w:rPr>
          <w:lang w:val="en-US"/>
        </w:rPr>
      </w:pPr>
    </w:p>
    <w:tbl>
      <w:tblPr>
        <w:tblW w:w="0" w:type="auto"/>
        <w:tblLook w:val="04A0" w:firstRow="1" w:lastRow="0" w:firstColumn="1" w:lastColumn="0" w:noHBand="0" w:noVBand="1"/>
      </w:tblPr>
      <w:tblGrid>
        <w:gridCol w:w="4785"/>
        <w:gridCol w:w="4786"/>
      </w:tblGrid>
      <w:tr w:rsidR="0036401B" w:rsidRPr="0036401B" w:rsidTr="00BE5030">
        <w:tc>
          <w:tcPr>
            <w:tcW w:w="4785" w:type="dxa"/>
            <w:shd w:val="clear" w:color="auto" w:fill="auto"/>
          </w:tcPr>
          <w:p w:rsidR="0036401B" w:rsidRPr="0036401B" w:rsidRDefault="0036401B" w:rsidP="0036401B">
            <w:pPr>
              <w:jc w:val="center"/>
              <w:rPr>
                <w:sz w:val="28"/>
                <w:szCs w:val="28"/>
              </w:rPr>
            </w:pPr>
          </w:p>
        </w:tc>
        <w:tc>
          <w:tcPr>
            <w:tcW w:w="4786" w:type="dxa"/>
            <w:shd w:val="clear" w:color="auto" w:fill="auto"/>
          </w:tcPr>
          <w:p w:rsidR="0036401B" w:rsidRPr="0036401B" w:rsidRDefault="0036401B" w:rsidP="0036401B">
            <w:pPr>
              <w:rPr>
                <w:sz w:val="28"/>
                <w:szCs w:val="28"/>
              </w:rPr>
            </w:pPr>
            <w:permStart w:id="458188840" w:edGrp="everyone"/>
            <w:r w:rsidRPr="0036401B">
              <w:rPr>
                <w:sz w:val="28"/>
                <w:szCs w:val="28"/>
              </w:rPr>
              <w:t>УТВЕРЖДЕН</w:t>
            </w:r>
          </w:p>
          <w:p w:rsidR="0036401B" w:rsidRPr="0036401B" w:rsidRDefault="0036401B" w:rsidP="0036401B">
            <w:pPr>
              <w:rPr>
                <w:sz w:val="28"/>
                <w:szCs w:val="28"/>
              </w:rPr>
            </w:pPr>
            <w:r w:rsidRPr="0036401B">
              <w:rPr>
                <w:sz w:val="28"/>
                <w:szCs w:val="28"/>
              </w:rPr>
              <w:t>постановлением администрации</w:t>
            </w:r>
          </w:p>
          <w:p w:rsidR="0036401B" w:rsidRPr="0036401B" w:rsidRDefault="0036401B" w:rsidP="0036401B">
            <w:pPr>
              <w:rPr>
                <w:sz w:val="28"/>
                <w:szCs w:val="28"/>
              </w:rPr>
            </w:pPr>
            <w:r w:rsidRPr="0036401B">
              <w:rPr>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36401B" w:rsidRPr="0036401B" w:rsidTr="00BE5030">
              <w:tc>
                <w:tcPr>
                  <w:tcW w:w="534" w:type="dxa"/>
                  <w:shd w:val="clear" w:color="auto" w:fill="auto"/>
                </w:tcPr>
                <w:permEnd w:id="458188840"/>
                <w:p w:rsidR="0036401B" w:rsidRPr="0036401B" w:rsidRDefault="0036401B" w:rsidP="0036401B">
                  <w:pPr>
                    <w:rPr>
                      <w:sz w:val="28"/>
                      <w:szCs w:val="28"/>
                    </w:rPr>
                  </w:pPr>
                  <w:r w:rsidRPr="0036401B">
                    <w:rPr>
                      <w:sz w:val="28"/>
                      <w:szCs w:val="28"/>
                    </w:rPr>
                    <w:t>от</w:t>
                  </w:r>
                </w:p>
              </w:tc>
              <w:tc>
                <w:tcPr>
                  <w:tcW w:w="2126" w:type="dxa"/>
                  <w:tcBorders>
                    <w:bottom w:val="single" w:sz="4" w:space="0" w:color="auto"/>
                  </w:tcBorders>
                  <w:shd w:val="clear" w:color="auto" w:fill="auto"/>
                </w:tcPr>
                <w:p w:rsidR="0036401B" w:rsidRPr="0036401B" w:rsidRDefault="0036401B" w:rsidP="0036401B">
                  <w:pPr>
                    <w:jc w:val="center"/>
                    <w:rPr>
                      <w:sz w:val="28"/>
                      <w:szCs w:val="28"/>
                    </w:rPr>
                  </w:pPr>
                  <w:permStart w:id="967927879" w:edGrp="everyone"/>
                  <w:r w:rsidRPr="0036401B">
                    <w:rPr>
                      <w:rFonts w:ascii="Calibri" w:eastAsia="Calibri" w:hAnsi="Calibri"/>
                      <w:sz w:val="22"/>
                      <w:szCs w:val="22"/>
                      <w:lang w:eastAsia="en-US"/>
                    </w:rPr>
                    <w:t xml:space="preserve"> </w:t>
                  </w:r>
                  <w:r w:rsidRPr="0036401B">
                    <w:rPr>
                      <w:rFonts w:ascii="Calibri" w:eastAsia="Calibri" w:hAnsi="Calibri"/>
                      <w:sz w:val="22"/>
                      <w:szCs w:val="22"/>
                      <w:lang w:eastAsia="en-US"/>
                    </w:rPr>
                    <w:fldChar w:fldCharType="begin"/>
                  </w:r>
                  <w:r w:rsidRPr="0036401B">
                    <w:rPr>
                      <w:rFonts w:ascii="Calibri" w:eastAsia="Calibri" w:hAnsi="Calibri"/>
                      <w:sz w:val="22"/>
                      <w:szCs w:val="22"/>
                      <w:lang w:eastAsia="en-US"/>
                    </w:rPr>
                    <w:instrText xml:space="preserve"> DOCPROPERTY  Рег.дата  \* MERGEFORMAT </w:instrText>
                  </w:r>
                  <w:r w:rsidRPr="0036401B">
                    <w:rPr>
                      <w:rFonts w:ascii="Calibri" w:eastAsia="Calibri" w:hAnsi="Calibri"/>
                      <w:sz w:val="22"/>
                      <w:szCs w:val="22"/>
                      <w:lang w:eastAsia="en-US"/>
                    </w:rPr>
                    <w:fldChar w:fldCharType="separate"/>
                  </w:r>
                  <w:r w:rsidRPr="0036401B">
                    <w:rPr>
                      <w:rFonts w:ascii="Calibri" w:eastAsia="Calibri" w:hAnsi="Calibri"/>
                      <w:sz w:val="22"/>
                      <w:szCs w:val="22"/>
                      <w:lang w:eastAsia="en-US"/>
                    </w:rPr>
                    <w:t xml:space="preserve"> </w:t>
                  </w:r>
                  <w:r w:rsidRPr="0036401B">
                    <w:rPr>
                      <w:rFonts w:ascii="Calibri" w:eastAsia="Calibri" w:hAnsi="Calibri"/>
                      <w:sz w:val="22"/>
                      <w:szCs w:val="22"/>
                      <w:lang w:eastAsia="en-US"/>
                    </w:rPr>
                    <w:fldChar w:fldCharType="end"/>
                  </w:r>
                  <w:permEnd w:id="967927879"/>
                </w:p>
              </w:tc>
              <w:tc>
                <w:tcPr>
                  <w:tcW w:w="484" w:type="dxa"/>
                  <w:shd w:val="clear" w:color="auto" w:fill="auto"/>
                </w:tcPr>
                <w:p w:rsidR="0036401B" w:rsidRPr="0036401B" w:rsidRDefault="0036401B" w:rsidP="0036401B">
                  <w:pPr>
                    <w:rPr>
                      <w:sz w:val="28"/>
                      <w:szCs w:val="28"/>
                    </w:rPr>
                  </w:pPr>
                  <w:r w:rsidRPr="0036401B">
                    <w:rPr>
                      <w:sz w:val="28"/>
                      <w:szCs w:val="28"/>
                    </w:rPr>
                    <w:t>№</w:t>
                  </w:r>
                </w:p>
              </w:tc>
              <w:tc>
                <w:tcPr>
                  <w:tcW w:w="1159" w:type="dxa"/>
                  <w:tcBorders>
                    <w:bottom w:val="single" w:sz="4" w:space="0" w:color="auto"/>
                  </w:tcBorders>
                  <w:shd w:val="clear" w:color="auto" w:fill="auto"/>
                </w:tcPr>
                <w:p w:rsidR="0036401B" w:rsidRPr="0036401B" w:rsidRDefault="0036401B" w:rsidP="0036401B">
                  <w:pPr>
                    <w:jc w:val="center"/>
                    <w:rPr>
                      <w:sz w:val="28"/>
                      <w:szCs w:val="28"/>
                    </w:rPr>
                  </w:pPr>
                  <w:permStart w:id="1767470870" w:edGrp="everyone"/>
                  <w:r w:rsidRPr="0036401B">
                    <w:rPr>
                      <w:rFonts w:ascii="Calibri" w:eastAsia="Calibri" w:hAnsi="Calibri"/>
                      <w:sz w:val="22"/>
                      <w:szCs w:val="22"/>
                      <w:lang w:eastAsia="en-US"/>
                    </w:rPr>
                    <w:t xml:space="preserve"> </w:t>
                  </w:r>
                  <w:r w:rsidRPr="0036401B">
                    <w:rPr>
                      <w:rFonts w:ascii="Calibri" w:eastAsia="Calibri" w:hAnsi="Calibri"/>
                      <w:sz w:val="22"/>
                      <w:szCs w:val="22"/>
                      <w:lang w:eastAsia="en-US"/>
                    </w:rPr>
                    <w:fldChar w:fldCharType="begin"/>
                  </w:r>
                  <w:r w:rsidRPr="0036401B">
                    <w:rPr>
                      <w:rFonts w:ascii="Calibri" w:eastAsia="Calibri" w:hAnsi="Calibri"/>
                      <w:sz w:val="22"/>
                      <w:szCs w:val="22"/>
                      <w:lang w:eastAsia="en-US"/>
                    </w:rPr>
                    <w:instrText xml:space="preserve"> DOCPROPERTY  Рег.№  \* MERGEFORMAT </w:instrText>
                  </w:r>
                  <w:r w:rsidRPr="0036401B">
                    <w:rPr>
                      <w:rFonts w:ascii="Calibri" w:eastAsia="Calibri" w:hAnsi="Calibri"/>
                      <w:sz w:val="22"/>
                      <w:szCs w:val="22"/>
                      <w:lang w:eastAsia="en-US"/>
                    </w:rPr>
                    <w:fldChar w:fldCharType="separate"/>
                  </w:r>
                  <w:r w:rsidRPr="0036401B">
                    <w:rPr>
                      <w:rFonts w:ascii="Calibri" w:eastAsia="Calibri" w:hAnsi="Calibri"/>
                      <w:sz w:val="22"/>
                      <w:szCs w:val="22"/>
                      <w:lang w:eastAsia="en-US"/>
                    </w:rPr>
                    <w:t xml:space="preserve"> </w:t>
                  </w:r>
                  <w:r w:rsidRPr="0036401B">
                    <w:rPr>
                      <w:rFonts w:ascii="Calibri" w:eastAsia="Calibri" w:hAnsi="Calibri"/>
                      <w:sz w:val="22"/>
                      <w:szCs w:val="22"/>
                      <w:lang w:eastAsia="en-US"/>
                    </w:rPr>
                    <w:fldChar w:fldCharType="end"/>
                  </w:r>
                  <w:permEnd w:id="1767470870"/>
                </w:p>
              </w:tc>
            </w:tr>
          </w:tbl>
          <w:p w:rsidR="0036401B" w:rsidRPr="0036401B" w:rsidRDefault="0036401B" w:rsidP="0036401B">
            <w:pPr>
              <w:rPr>
                <w:sz w:val="28"/>
                <w:szCs w:val="28"/>
              </w:rPr>
            </w:pPr>
          </w:p>
        </w:tc>
      </w:tr>
    </w:tbl>
    <w:p w:rsidR="0036401B" w:rsidRPr="0036401B" w:rsidRDefault="0036401B" w:rsidP="0036401B">
      <w:pPr>
        <w:rPr>
          <w:sz w:val="28"/>
          <w:szCs w:val="28"/>
        </w:rPr>
      </w:pPr>
    </w:p>
    <w:p w:rsidR="0036401B" w:rsidRPr="0036401B" w:rsidRDefault="0036401B" w:rsidP="0036401B">
      <w:pPr>
        <w:widowControl w:val="0"/>
        <w:autoSpaceDE w:val="0"/>
        <w:autoSpaceDN w:val="0"/>
        <w:jc w:val="center"/>
        <w:rPr>
          <w:b/>
          <w:sz w:val="28"/>
          <w:szCs w:val="28"/>
        </w:rPr>
      </w:pPr>
      <w:permStart w:id="34292733" w:edGrp="everyone"/>
      <w:r w:rsidRPr="0036401B">
        <w:rPr>
          <w:b/>
          <w:sz w:val="28"/>
          <w:szCs w:val="28"/>
        </w:rPr>
        <w:t>ПОРЯДОК</w:t>
      </w:r>
    </w:p>
    <w:p w:rsidR="0036401B" w:rsidRPr="0036401B" w:rsidRDefault="0036401B" w:rsidP="0036401B">
      <w:pPr>
        <w:widowControl w:val="0"/>
        <w:autoSpaceDE w:val="0"/>
        <w:autoSpaceDN w:val="0"/>
        <w:ind w:firstLine="540"/>
        <w:jc w:val="center"/>
        <w:rPr>
          <w:b/>
          <w:sz w:val="28"/>
          <w:szCs w:val="28"/>
        </w:rPr>
      </w:pPr>
      <w:r w:rsidRPr="0036401B">
        <w:rPr>
          <w:b/>
          <w:sz w:val="28"/>
          <w:szCs w:val="28"/>
        </w:rPr>
        <w:t>принятия решений о заключении муниципальных контрактов на выполнение работ, оказание услуг для обеспечения муниципальных нужд городского округа Верхняя Пышма, длительность производственного цикла выполнения, оказания которых превышает срок действия утвержденных лимитов бюджетных обязательств</w:t>
      </w:r>
    </w:p>
    <w:p w:rsidR="0036401B" w:rsidRPr="0036401B" w:rsidRDefault="0036401B" w:rsidP="0036401B">
      <w:pPr>
        <w:widowControl w:val="0"/>
        <w:autoSpaceDE w:val="0"/>
        <w:autoSpaceDN w:val="0"/>
        <w:jc w:val="center"/>
        <w:rPr>
          <w:b/>
          <w:sz w:val="28"/>
          <w:szCs w:val="28"/>
        </w:rPr>
      </w:pPr>
    </w:p>
    <w:p w:rsidR="0036401B" w:rsidRPr="0036401B" w:rsidRDefault="0036401B" w:rsidP="0036401B">
      <w:pPr>
        <w:widowControl w:val="0"/>
        <w:autoSpaceDE w:val="0"/>
        <w:autoSpaceDN w:val="0"/>
        <w:ind w:firstLine="709"/>
        <w:jc w:val="both"/>
        <w:rPr>
          <w:sz w:val="28"/>
          <w:szCs w:val="28"/>
        </w:rPr>
      </w:pPr>
      <w:r w:rsidRPr="0036401B">
        <w:rPr>
          <w:sz w:val="28"/>
          <w:szCs w:val="28"/>
        </w:rPr>
        <w:t>1. Порядок принятия решений о заключении муниципальных контрактов на выполнение работ, оказание услуг для обеспечения муниципальных нужд городского округа Верхняя Пышма, длительность производственного цикла выполнения, оказания которых превышает срок действия утвержденных лимитов бюджетных обязательств (далее - Порядок), устанавливает основания и определяет процедуру принятия решений о заключении вышеуказанных муниципальных контрактов.</w:t>
      </w:r>
    </w:p>
    <w:p w:rsidR="0036401B" w:rsidRPr="0036401B" w:rsidRDefault="0036401B" w:rsidP="0036401B">
      <w:pPr>
        <w:widowControl w:val="0"/>
        <w:autoSpaceDE w:val="0"/>
        <w:autoSpaceDN w:val="0"/>
        <w:ind w:firstLine="709"/>
        <w:jc w:val="both"/>
        <w:rPr>
          <w:sz w:val="28"/>
          <w:szCs w:val="28"/>
        </w:rPr>
      </w:pPr>
      <w:bookmarkStart w:id="1" w:name="P41"/>
      <w:bookmarkEnd w:id="1"/>
      <w:r w:rsidRPr="0036401B">
        <w:rPr>
          <w:sz w:val="28"/>
          <w:szCs w:val="28"/>
        </w:rPr>
        <w:t xml:space="preserve">2. </w:t>
      </w:r>
      <w:proofErr w:type="gramStart"/>
      <w:r w:rsidRPr="0036401B">
        <w:rPr>
          <w:sz w:val="28"/>
          <w:szCs w:val="28"/>
        </w:rPr>
        <w:t>Муниципальные заказчики вправе заключать долгосрочные муниципальные контракты на выполнение работ, оказание услуг для обеспечения муниципальных нужд городского округа Верхняя Пышма, длительность производственного цикла выполнения, оказания которых превышает срок действия утвержденных лимитов бюджетных обязательств (далее - долгосрочные муниципальные контракты), в пределах средств, установленных на соответствующие цели муниципальными правовыми актами администрации городского округа Верхняя Пышма о предоставлении бюджетных инвестиций в объекты муниципальной собственности</w:t>
      </w:r>
      <w:proofErr w:type="gramEnd"/>
      <w:r w:rsidRPr="0036401B">
        <w:rPr>
          <w:sz w:val="28"/>
          <w:szCs w:val="28"/>
        </w:rPr>
        <w:t xml:space="preserve"> городского округа Верхняя Пышма, принимаемыми в соответствии со </w:t>
      </w:r>
      <w:hyperlink r:id="rId9" w:history="1">
        <w:r w:rsidRPr="0036401B">
          <w:rPr>
            <w:color w:val="0000FF"/>
            <w:sz w:val="28"/>
            <w:szCs w:val="28"/>
            <w:u w:val="single"/>
          </w:rPr>
          <w:t>статьей 79</w:t>
        </w:r>
      </w:hyperlink>
      <w:r w:rsidRPr="0036401B">
        <w:rPr>
          <w:sz w:val="28"/>
          <w:szCs w:val="28"/>
        </w:rPr>
        <w:t xml:space="preserve"> Бюджетного кодекса Российской Федерации, на срок, предусмотренный указанными муниципальными правовыми актами.</w:t>
      </w:r>
    </w:p>
    <w:p w:rsidR="0036401B" w:rsidRPr="0036401B" w:rsidRDefault="0036401B" w:rsidP="0036401B">
      <w:pPr>
        <w:widowControl w:val="0"/>
        <w:autoSpaceDE w:val="0"/>
        <w:autoSpaceDN w:val="0"/>
        <w:ind w:firstLine="709"/>
        <w:jc w:val="both"/>
        <w:rPr>
          <w:sz w:val="28"/>
          <w:szCs w:val="28"/>
        </w:rPr>
      </w:pPr>
      <w:bookmarkStart w:id="2" w:name="P42"/>
      <w:bookmarkEnd w:id="2"/>
      <w:r w:rsidRPr="0036401B">
        <w:rPr>
          <w:sz w:val="28"/>
          <w:szCs w:val="28"/>
        </w:rPr>
        <w:t>3. Долгосрочные муниципальные контракты могут заключаться муниципальными заказчиками в целях реализации мероприятий, предусмотренных муниципальными программами городского округа Верхняя Пышма (далее - муниципальные программы):</w:t>
      </w:r>
    </w:p>
    <w:p w:rsidR="0036401B" w:rsidRPr="0036401B" w:rsidRDefault="0036401B" w:rsidP="0036401B">
      <w:pPr>
        <w:widowControl w:val="0"/>
        <w:autoSpaceDE w:val="0"/>
        <w:autoSpaceDN w:val="0"/>
        <w:ind w:firstLine="709"/>
        <w:jc w:val="both"/>
        <w:rPr>
          <w:sz w:val="28"/>
          <w:szCs w:val="28"/>
        </w:rPr>
      </w:pPr>
      <w:proofErr w:type="gramStart"/>
      <w:r w:rsidRPr="0036401B">
        <w:rPr>
          <w:sz w:val="28"/>
          <w:szCs w:val="28"/>
        </w:rPr>
        <w:t>1) на срок и в пределах средств, которые предусмотрены на реализацию мероприятий муниципальной программы;</w:t>
      </w:r>
      <w:proofErr w:type="gramEnd"/>
    </w:p>
    <w:p w:rsidR="0036401B" w:rsidRPr="0036401B" w:rsidRDefault="0036401B" w:rsidP="0036401B">
      <w:pPr>
        <w:widowControl w:val="0"/>
        <w:autoSpaceDE w:val="0"/>
        <w:autoSpaceDN w:val="0"/>
        <w:ind w:firstLine="709"/>
        <w:jc w:val="both"/>
        <w:rPr>
          <w:sz w:val="28"/>
          <w:szCs w:val="28"/>
        </w:rPr>
      </w:pPr>
      <w:r w:rsidRPr="0036401B">
        <w:rPr>
          <w:sz w:val="28"/>
          <w:szCs w:val="28"/>
        </w:rPr>
        <w:t xml:space="preserve">2) за пределами срока действия муниципальной программы при условии </w:t>
      </w:r>
      <w:proofErr w:type="spellStart"/>
      <w:r w:rsidRPr="0036401B">
        <w:rPr>
          <w:sz w:val="28"/>
          <w:szCs w:val="28"/>
        </w:rPr>
        <w:t>непревышения</w:t>
      </w:r>
      <w:proofErr w:type="spellEnd"/>
      <w:r w:rsidRPr="0036401B">
        <w:rPr>
          <w:sz w:val="28"/>
          <w:szCs w:val="28"/>
        </w:rPr>
        <w:t xml:space="preserve"> годового объема средств, предусматриваемых на оплату долгосрочного муниципального контракта, над объемом средств, направляемых на финансирование мероприятий в последнем году реализации муниципальной программы.</w:t>
      </w:r>
    </w:p>
    <w:p w:rsidR="0036401B" w:rsidRPr="0036401B" w:rsidRDefault="0036401B" w:rsidP="0036401B">
      <w:pPr>
        <w:widowControl w:val="0"/>
        <w:autoSpaceDE w:val="0"/>
        <w:autoSpaceDN w:val="0"/>
        <w:ind w:firstLine="709"/>
        <w:jc w:val="both"/>
        <w:rPr>
          <w:sz w:val="28"/>
          <w:szCs w:val="28"/>
        </w:rPr>
      </w:pPr>
      <w:r w:rsidRPr="0036401B">
        <w:rPr>
          <w:sz w:val="28"/>
          <w:szCs w:val="28"/>
        </w:rPr>
        <w:t xml:space="preserve">4. Решение о заключении долгосрочных муниципальных контрактов, указанных в </w:t>
      </w:r>
      <w:hyperlink w:anchor="P41" w:history="1">
        <w:r w:rsidRPr="0036401B">
          <w:rPr>
            <w:color w:val="0000FF"/>
            <w:sz w:val="28"/>
            <w:szCs w:val="28"/>
            <w:u w:val="single"/>
          </w:rPr>
          <w:t>пунктах 2</w:t>
        </w:r>
      </w:hyperlink>
      <w:r w:rsidRPr="0036401B">
        <w:rPr>
          <w:sz w:val="28"/>
          <w:szCs w:val="28"/>
        </w:rPr>
        <w:t xml:space="preserve">, </w:t>
      </w:r>
      <w:hyperlink w:anchor="P42" w:history="1">
        <w:r w:rsidRPr="0036401B">
          <w:rPr>
            <w:color w:val="0000FF"/>
            <w:sz w:val="28"/>
            <w:szCs w:val="28"/>
            <w:u w:val="single"/>
          </w:rPr>
          <w:t>3</w:t>
        </w:r>
      </w:hyperlink>
      <w:r w:rsidRPr="0036401B">
        <w:rPr>
          <w:sz w:val="28"/>
          <w:szCs w:val="28"/>
        </w:rPr>
        <w:t xml:space="preserve"> Порядка, принимается в форме правового акта администрации городского округа Верхняя Пышма.</w:t>
      </w:r>
    </w:p>
    <w:p w:rsidR="0036401B" w:rsidRPr="0036401B" w:rsidRDefault="0036401B" w:rsidP="0036401B">
      <w:pPr>
        <w:widowControl w:val="0"/>
        <w:autoSpaceDE w:val="0"/>
        <w:autoSpaceDN w:val="0"/>
        <w:ind w:firstLine="709"/>
        <w:jc w:val="both"/>
        <w:rPr>
          <w:sz w:val="28"/>
          <w:szCs w:val="28"/>
        </w:rPr>
      </w:pPr>
      <w:r w:rsidRPr="0036401B">
        <w:rPr>
          <w:sz w:val="28"/>
          <w:szCs w:val="28"/>
        </w:rPr>
        <w:lastRenderedPageBreak/>
        <w:t>5. Проект правового акта администрации городского округа Верхняя Пышма (далее - проект) разрабатывает отраслевой (функциональный) орган администрации городского округа Верхняя Пышма, муниципальное учреждение городского округа Верхняя Пышма, являющийся муниципальным заказчиком.</w:t>
      </w:r>
    </w:p>
    <w:p w:rsidR="0036401B" w:rsidRPr="0036401B" w:rsidRDefault="0036401B" w:rsidP="0036401B">
      <w:pPr>
        <w:widowControl w:val="0"/>
        <w:autoSpaceDE w:val="0"/>
        <w:autoSpaceDN w:val="0"/>
        <w:ind w:firstLine="709"/>
        <w:jc w:val="both"/>
        <w:rPr>
          <w:sz w:val="28"/>
          <w:szCs w:val="28"/>
        </w:rPr>
      </w:pPr>
      <w:r w:rsidRPr="0036401B">
        <w:rPr>
          <w:sz w:val="28"/>
          <w:szCs w:val="28"/>
        </w:rPr>
        <w:t>В прое</w:t>
      </w:r>
      <w:proofErr w:type="gramStart"/>
      <w:r w:rsidRPr="0036401B">
        <w:rPr>
          <w:sz w:val="28"/>
          <w:szCs w:val="28"/>
        </w:rPr>
        <w:t>кт вкл</w:t>
      </w:r>
      <w:proofErr w:type="gramEnd"/>
      <w:r w:rsidRPr="0036401B">
        <w:rPr>
          <w:sz w:val="28"/>
          <w:szCs w:val="28"/>
        </w:rPr>
        <w:t>ючаются следующие сведения:</w:t>
      </w:r>
    </w:p>
    <w:p w:rsidR="0036401B" w:rsidRPr="0036401B" w:rsidRDefault="0036401B" w:rsidP="0036401B">
      <w:pPr>
        <w:widowControl w:val="0"/>
        <w:autoSpaceDE w:val="0"/>
        <w:autoSpaceDN w:val="0"/>
        <w:ind w:firstLine="709"/>
        <w:jc w:val="both"/>
        <w:rPr>
          <w:sz w:val="28"/>
          <w:szCs w:val="28"/>
        </w:rPr>
      </w:pPr>
      <w:r w:rsidRPr="0036401B">
        <w:rPr>
          <w:sz w:val="28"/>
          <w:szCs w:val="28"/>
        </w:rPr>
        <w:t>наименование объекта закупки;</w:t>
      </w:r>
    </w:p>
    <w:p w:rsidR="0036401B" w:rsidRPr="0036401B" w:rsidRDefault="0036401B" w:rsidP="0036401B">
      <w:pPr>
        <w:widowControl w:val="0"/>
        <w:autoSpaceDE w:val="0"/>
        <w:autoSpaceDN w:val="0"/>
        <w:ind w:firstLine="709"/>
        <w:jc w:val="both"/>
        <w:rPr>
          <w:sz w:val="28"/>
          <w:szCs w:val="28"/>
        </w:rPr>
      </w:pPr>
      <w:r w:rsidRPr="0036401B">
        <w:rPr>
          <w:sz w:val="28"/>
          <w:szCs w:val="28"/>
        </w:rPr>
        <w:t>планируемые результаты выполнения работ (оказания услуг);</w:t>
      </w:r>
    </w:p>
    <w:p w:rsidR="0036401B" w:rsidRPr="0036401B" w:rsidRDefault="0036401B" w:rsidP="0036401B">
      <w:pPr>
        <w:widowControl w:val="0"/>
        <w:autoSpaceDE w:val="0"/>
        <w:autoSpaceDN w:val="0"/>
        <w:ind w:firstLine="709"/>
        <w:jc w:val="both"/>
        <w:rPr>
          <w:sz w:val="28"/>
          <w:szCs w:val="28"/>
        </w:rPr>
      </w:pPr>
      <w:r w:rsidRPr="0036401B">
        <w:rPr>
          <w:sz w:val="28"/>
          <w:szCs w:val="28"/>
        </w:rPr>
        <w:t>предельный срок выполнения работ (оказания услуг) с учетом сроков, необходимых для определения подрядчиков (исполнителей);</w:t>
      </w:r>
    </w:p>
    <w:p w:rsidR="0036401B" w:rsidRPr="0036401B" w:rsidRDefault="0036401B" w:rsidP="0036401B">
      <w:pPr>
        <w:widowControl w:val="0"/>
        <w:autoSpaceDE w:val="0"/>
        <w:autoSpaceDN w:val="0"/>
        <w:ind w:firstLine="709"/>
        <w:jc w:val="both"/>
        <w:rPr>
          <w:sz w:val="28"/>
          <w:szCs w:val="28"/>
        </w:rPr>
      </w:pPr>
      <w:r w:rsidRPr="0036401B">
        <w:rPr>
          <w:sz w:val="28"/>
          <w:szCs w:val="28"/>
        </w:rPr>
        <w:t>предельный объем средств на оплату по муниципальному контракту с разбивкой по годам (по этапам выполнения работ, оказания услуг).</w:t>
      </w:r>
    </w:p>
    <w:p w:rsidR="0036401B" w:rsidRPr="0036401B" w:rsidRDefault="0036401B" w:rsidP="0036401B">
      <w:pPr>
        <w:widowControl w:val="0"/>
        <w:autoSpaceDE w:val="0"/>
        <w:autoSpaceDN w:val="0"/>
        <w:ind w:firstLine="709"/>
        <w:jc w:val="both"/>
        <w:rPr>
          <w:sz w:val="28"/>
          <w:szCs w:val="28"/>
        </w:rPr>
      </w:pPr>
      <w:r w:rsidRPr="0036401B">
        <w:rPr>
          <w:sz w:val="28"/>
          <w:szCs w:val="28"/>
        </w:rPr>
        <w:t>Подготовленный проект и пояснительная записка к нему направляются на согласование в Финансовое управление городского округа Верхняя Пышма (далее - Управление), в комитет экономики и муниципального заказа (далее – комитет экономики). Пояснительная записка должна содержать обоснование потребности городского округа Верхняя Пышма в работах (услугах), выполнение (оказание) которых предусматривается муниципальным контрактом.</w:t>
      </w:r>
    </w:p>
    <w:p w:rsidR="0036401B" w:rsidRPr="0036401B" w:rsidRDefault="0036401B" w:rsidP="0036401B">
      <w:pPr>
        <w:widowControl w:val="0"/>
        <w:autoSpaceDE w:val="0"/>
        <w:autoSpaceDN w:val="0"/>
        <w:ind w:firstLine="709"/>
        <w:jc w:val="both"/>
        <w:rPr>
          <w:sz w:val="28"/>
          <w:szCs w:val="28"/>
        </w:rPr>
      </w:pPr>
      <w:r w:rsidRPr="0036401B">
        <w:rPr>
          <w:sz w:val="28"/>
          <w:szCs w:val="28"/>
        </w:rPr>
        <w:t>6. Управление в срок, не превышающий 5 (пяти) рабочих дней со дня получения проекта и пояснительной записки к нему, дает заключение на предмет соответствия следующим требованиям:</w:t>
      </w:r>
    </w:p>
    <w:p w:rsidR="0036401B" w:rsidRPr="0036401B" w:rsidRDefault="0036401B" w:rsidP="0036401B">
      <w:pPr>
        <w:widowControl w:val="0"/>
        <w:autoSpaceDE w:val="0"/>
        <w:autoSpaceDN w:val="0"/>
        <w:ind w:firstLine="709"/>
        <w:jc w:val="both"/>
        <w:rPr>
          <w:sz w:val="28"/>
          <w:szCs w:val="28"/>
        </w:rPr>
      </w:pPr>
      <w:proofErr w:type="spellStart"/>
      <w:proofErr w:type="gramStart"/>
      <w:r w:rsidRPr="0036401B">
        <w:rPr>
          <w:sz w:val="28"/>
          <w:szCs w:val="28"/>
        </w:rPr>
        <w:t>непревышение</w:t>
      </w:r>
      <w:proofErr w:type="spellEnd"/>
      <w:r w:rsidRPr="0036401B">
        <w:rPr>
          <w:sz w:val="28"/>
          <w:szCs w:val="28"/>
        </w:rPr>
        <w:t xml:space="preserve"> предельного объема средств, предусматриваемых на оплату долгосрочного муниципального контракта в текущем финансовом году и плановом периоде, над объемом бюджетных ассигнований, предусмотренных на реализацию соответствующего мероприятия решением Думы городского округа Верхняя Пышма о бюджете городского округа Верхняя Пышма (далее - решение о бюджете) на соответствующий финансовый год и плановый период (если решение о бюджете принимается на очередной финансовый год и плановый</w:t>
      </w:r>
      <w:proofErr w:type="gramEnd"/>
      <w:r w:rsidRPr="0036401B">
        <w:rPr>
          <w:sz w:val="28"/>
          <w:szCs w:val="28"/>
        </w:rPr>
        <w:t xml:space="preserve"> период);</w:t>
      </w:r>
    </w:p>
    <w:p w:rsidR="0036401B" w:rsidRPr="0036401B" w:rsidRDefault="0036401B" w:rsidP="0036401B">
      <w:pPr>
        <w:widowControl w:val="0"/>
        <w:autoSpaceDE w:val="0"/>
        <w:autoSpaceDN w:val="0"/>
        <w:ind w:firstLine="709"/>
        <w:jc w:val="both"/>
        <w:rPr>
          <w:sz w:val="28"/>
          <w:szCs w:val="28"/>
        </w:rPr>
      </w:pPr>
      <w:proofErr w:type="spellStart"/>
      <w:r w:rsidRPr="0036401B">
        <w:rPr>
          <w:sz w:val="28"/>
          <w:szCs w:val="28"/>
        </w:rPr>
        <w:t>непревышение</w:t>
      </w:r>
      <w:proofErr w:type="spellEnd"/>
      <w:r w:rsidRPr="0036401B">
        <w:rPr>
          <w:sz w:val="28"/>
          <w:szCs w:val="28"/>
        </w:rPr>
        <w:t xml:space="preserve"> предельного объема средств, предусматриваемых на оплату долгосрочного муниципального контракта на каждый год за пределами планового периода, над максимальным годовым объемом средств на оплату указанного муниципального контракта в текущем финансовом году и в пределах планового периода (если решение о бюджете принимается на очередной финансовый год и плановый период);</w:t>
      </w:r>
    </w:p>
    <w:p w:rsidR="0036401B" w:rsidRPr="0036401B" w:rsidRDefault="0036401B" w:rsidP="0036401B">
      <w:pPr>
        <w:widowControl w:val="0"/>
        <w:autoSpaceDE w:val="0"/>
        <w:autoSpaceDN w:val="0"/>
        <w:ind w:firstLine="709"/>
        <w:jc w:val="both"/>
        <w:rPr>
          <w:sz w:val="28"/>
          <w:szCs w:val="28"/>
        </w:rPr>
      </w:pPr>
      <w:proofErr w:type="spellStart"/>
      <w:r w:rsidRPr="0036401B">
        <w:rPr>
          <w:sz w:val="28"/>
          <w:szCs w:val="28"/>
        </w:rPr>
        <w:t>непревышение</w:t>
      </w:r>
      <w:proofErr w:type="spellEnd"/>
      <w:r w:rsidRPr="0036401B">
        <w:rPr>
          <w:sz w:val="28"/>
          <w:szCs w:val="28"/>
        </w:rPr>
        <w:t xml:space="preserve"> предельного объема средств, предусматриваемых на оплату долгосрочного муниципального контракта на каждый год за пределами текущего финансового года, над объемом бюджетных ассигнований, предусмотренных на реализацию соответствующего мероприятия решением о бюджете на текущий финансовый год (если решение о бюджете принимается на очередной финансовый год).</w:t>
      </w:r>
    </w:p>
    <w:p w:rsidR="0036401B" w:rsidRPr="0036401B" w:rsidRDefault="0036401B" w:rsidP="0036401B">
      <w:pPr>
        <w:widowControl w:val="0"/>
        <w:autoSpaceDE w:val="0"/>
        <w:autoSpaceDN w:val="0"/>
        <w:ind w:firstLine="709"/>
        <w:jc w:val="both"/>
        <w:rPr>
          <w:sz w:val="28"/>
          <w:szCs w:val="28"/>
        </w:rPr>
      </w:pPr>
      <w:r w:rsidRPr="0036401B">
        <w:rPr>
          <w:sz w:val="28"/>
          <w:szCs w:val="28"/>
        </w:rPr>
        <w:t>7. Комитет экономики в срок, не превышающий 2 (двух) рабочих дней со дня получения проекта и пояснительной записки к нему, дает заключение на предмет соответствия:</w:t>
      </w:r>
    </w:p>
    <w:p w:rsidR="0036401B" w:rsidRPr="0036401B" w:rsidRDefault="0036401B" w:rsidP="0036401B">
      <w:pPr>
        <w:widowControl w:val="0"/>
        <w:autoSpaceDE w:val="0"/>
        <w:autoSpaceDN w:val="0"/>
        <w:ind w:firstLine="709"/>
        <w:jc w:val="both"/>
        <w:rPr>
          <w:sz w:val="28"/>
          <w:szCs w:val="28"/>
        </w:rPr>
      </w:pPr>
      <w:r w:rsidRPr="0036401B">
        <w:rPr>
          <w:sz w:val="28"/>
          <w:szCs w:val="28"/>
        </w:rPr>
        <w:lastRenderedPageBreak/>
        <w:t xml:space="preserve"> планируемых результатов выполнения работ (оказания услуг) основным стратегическим документам, планам мероприятий и муниципальным программам, порядку реализации бюджетных инвестиций в объекты муниципальной собственности;</w:t>
      </w:r>
    </w:p>
    <w:p w:rsidR="0036401B" w:rsidRPr="0036401B" w:rsidRDefault="0036401B" w:rsidP="0036401B">
      <w:pPr>
        <w:widowControl w:val="0"/>
        <w:autoSpaceDE w:val="0"/>
        <w:autoSpaceDN w:val="0"/>
        <w:ind w:firstLine="709"/>
        <w:jc w:val="both"/>
        <w:rPr>
          <w:sz w:val="28"/>
          <w:szCs w:val="28"/>
        </w:rPr>
      </w:pPr>
      <w:r w:rsidRPr="0036401B">
        <w:rPr>
          <w:sz w:val="28"/>
          <w:szCs w:val="28"/>
        </w:rPr>
        <w:t>описания объекта закупки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36401B" w:rsidRPr="0036401B" w:rsidRDefault="0036401B" w:rsidP="0036401B">
      <w:pPr>
        <w:autoSpaceDE w:val="0"/>
        <w:autoSpaceDN w:val="0"/>
        <w:adjustRightInd w:val="0"/>
        <w:ind w:firstLine="709"/>
        <w:jc w:val="both"/>
        <w:rPr>
          <w:rFonts w:eastAsia="Calibri"/>
          <w:sz w:val="28"/>
          <w:szCs w:val="28"/>
          <w:lang w:eastAsia="en-US"/>
        </w:rPr>
      </w:pPr>
      <w:r w:rsidRPr="0036401B">
        <w:rPr>
          <w:rFonts w:eastAsia="Calibri"/>
          <w:sz w:val="28"/>
          <w:szCs w:val="28"/>
          <w:lang w:eastAsia="en-US"/>
        </w:rPr>
        <w:t>8. Дальнейшее согласование проекта осуществляется в установленном в администрации городского округа Верхняя Пышма порядке.</w:t>
      </w:r>
    </w:p>
    <w:p w:rsidR="0036401B" w:rsidRPr="0036401B" w:rsidRDefault="0036401B" w:rsidP="0036401B">
      <w:pPr>
        <w:widowControl w:val="0"/>
        <w:autoSpaceDE w:val="0"/>
        <w:autoSpaceDN w:val="0"/>
        <w:ind w:firstLine="709"/>
        <w:jc w:val="both"/>
        <w:rPr>
          <w:sz w:val="28"/>
          <w:szCs w:val="28"/>
        </w:rPr>
      </w:pPr>
      <w:r w:rsidRPr="0036401B">
        <w:rPr>
          <w:sz w:val="28"/>
          <w:szCs w:val="28"/>
        </w:rPr>
        <w:t xml:space="preserve"> 9. Заключение долгосрочного муниципального контракта осуществляется в порядке, установленном действующим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6401B" w:rsidRPr="0036401B" w:rsidRDefault="0036401B" w:rsidP="0036401B">
      <w:pPr>
        <w:widowControl w:val="0"/>
        <w:autoSpaceDE w:val="0"/>
        <w:autoSpaceDN w:val="0"/>
        <w:ind w:firstLine="709"/>
        <w:jc w:val="both"/>
        <w:rPr>
          <w:sz w:val="28"/>
          <w:szCs w:val="28"/>
        </w:rPr>
      </w:pPr>
      <w:r w:rsidRPr="0036401B">
        <w:rPr>
          <w:sz w:val="28"/>
          <w:szCs w:val="28"/>
        </w:rPr>
        <w:t xml:space="preserve">10. </w:t>
      </w:r>
      <w:proofErr w:type="gramStart"/>
      <w:r w:rsidRPr="0036401B">
        <w:rPr>
          <w:sz w:val="28"/>
          <w:szCs w:val="28"/>
        </w:rPr>
        <w:t xml:space="preserve">В случаях, предусмотренных </w:t>
      </w:r>
      <w:hyperlink r:id="rId10" w:history="1">
        <w:r w:rsidRPr="0036401B">
          <w:rPr>
            <w:color w:val="0000FF"/>
            <w:sz w:val="28"/>
            <w:szCs w:val="28"/>
            <w:u w:val="single"/>
          </w:rPr>
          <w:t>пунктом 6 статьи 161</w:t>
        </w:r>
      </w:hyperlink>
      <w:r w:rsidRPr="0036401B">
        <w:rPr>
          <w:sz w:val="28"/>
          <w:szCs w:val="28"/>
        </w:rPr>
        <w:t xml:space="preserve"> Бюджетного кодекса Российской Федерации, при уменьшении ранее доведенных лимитов бюджетных обязательств, приводящем к невозможности исполнения бюджетных обязательств, вытекающих из заключенного долгосрочного муниципального контракта, муниципальный заказчик должен обеспечить согласование новых условий долгосрочного муниципального контракта, в том числе по цене и (или) срокам его исполнения и (или) количеству (объему) товара (работы, услуги), в соответствии с</w:t>
      </w:r>
      <w:proofErr w:type="gramEnd"/>
      <w:r w:rsidRPr="0036401B">
        <w:rPr>
          <w:sz w:val="28"/>
          <w:szCs w:val="28"/>
        </w:rPr>
        <w:t xml:space="preserve">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6401B" w:rsidRPr="0036401B" w:rsidRDefault="0036401B" w:rsidP="0036401B">
      <w:pPr>
        <w:rPr>
          <w:sz w:val="28"/>
          <w:szCs w:val="28"/>
        </w:rPr>
      </w:pPr>
    </w:p>
    <w:permEnd w:id="34292733"/>
    <w:p w:rsidR="0036401B" w:rsidRPr="0036401B" w:rsidRDefault="0036401B" w:rsidP="0036401B">
      <w:pPr>
        <w:rPr>
          <w:sz w:val="28"/>
          <w:szCs w:val="28"/>
        </w:rPr>
      </w:pPr>
    </w:p>
    <w:p w:rsidR="0036401B" w:rsidRPr="0036401B" w:rsidRDefault="0036401B"/>
    <w:p w:rsidR="0036401B" w:rsidRPr="0036401B" w:rsidRDefault="0036401B"/>
    <w:p w:rsidR="0036401B" w:rsidRPr="0036401B" w:rsidRDefault="0036401B"/>
    <w:p w:rsidR="0036401B" w:rsidRPr="0036401B" w:rsidRDefault="0036401B"/>
    <w:p w:rsidR="0036401B" w:rsidRPr="0036401B" w:rsidRDefault="0036401B"/>
    <w:p w:rsidR="0036401B" w:rsidRPr="0036401B" w:rsidRDefault="0036401B"/>
    <w:p w:rsidR="0036401B" w:rsidRPr="0036401B" w:rsidRDefault="0036401B"/>
    <w:p w:rsidR="0036401B" w:rsidRPr="0036401B" w:rsidRDefault="0036401B"/>
    <w:p w:rsidR="0036401B" w:rsidRPr="0036401B" w:rsidRDefault="0036401B"/>
    <w:sectPr w:rsidR="0036401B" w:rsidRPr="0036401B" w:rsidSect="00ED5D71">
      <w:headerReference w:type="default" r:id="rId11"/>
      <w:footerReference w:type="default" r:id="rId12"/>
      <w:headerReference w:type="first" r:id="rId13"/>
      <w:footerReference w:type="first" r:id="rId14"/>
      <w:pgSz w:w="11906" w:h="16838"/>
      <w:pgMar w:top="1134" w:right="851" w:bottom="1134" w:left="1418"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B31" w:rsidRDefault="003F4B31" w:rsidP="00893913">
      <w:r>
        <w:separator/>
      </w:r>
    </w:p>
  </w:endnote>
  <w:endnote w:type="continuationSeparator" w:id="0">
    <w:p w:rsidR="003F4B31" w:rsidRDefault="003F4B31" w:rsidP="0089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80666B" w:rsidP="00810AAA">
    <w:pPr>
      <w:pStyle w:val="a6"/>
      <w:jc w:val="right"/>
      <w:rPr>
        <w:sz w:val="20"/>
        <w:szCs w:val="20"/>
      </w:rPr>
    </w:pPr>
    <w:r w:rsidRPr="00EC798A">
      <w:rPr>
        <w:sz w:val="20"/>
        <w:szCs w:val="20"/>
      </w:rPr>
      <w:t>Вр-113557</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893913" w:rsidP="007B0005">
    <w:pPr>
      <w:pStyle w:val="a6"/>
      <w:jc w:val="right"/>
      <w:rPr>
        <w:sz w:val="20"/>
        <w:szCs w:val="20"/>
      </w:rPr>
    </w:pPr>
    <w:r>
      <w:rPr>
        <w:sz w:val="20"/>
        <w:szCs w:val="20"/>
      </w:rPr>
      <w:t>Вр-113301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B31" w:rsidRDefault="003F4B31" w:rsidP="00893913">
      <w:r>
        <w:separator/>
      </w:r>
    </w:p>
  </w:footnote>
  <w:footnote w:type="continuationSeparator" w:id="0">
    <w:p w:rsidR="003F4B31" w:rsidRDefault="003F4B31" w:rsidP="00893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693063868" w:edGrp="everyone"/>
  <w:p w:rsidR="00AF0248" w:rsidRDefault="0080666B">
    <w:pPr>
      <w:pStyle w:val="a4"/>
      <w:jc w:val="center"/>
    </w:pPr>
    <w:r>
      <w:fldChar w:fldCharType="begin"/>
    </w:r>
    <w:r>
      <w:instrText xml:space="preserve"> PAGE   \* MERGEFORMAT </w:instrText>
    </w:r>
    <w:r>
      <w:fldChar w:fldCharType="separate"/>
    </w:r>
    <w:r w:rsidR="0036401B">
      <w:rPr>
        <w:noProof/>
      </w:rPr>
      <w:t>2</w:t>
    </w:r>
    <w:r>
      <w:fldChar w:fldCharType="end"/>
    </w:r>
  </w:p>
  <w:permEnd w:id="1693063868"/>
  <w:p w:rsidR="00810AAA" w:rsidRPr="00810AAA" w:rsidRDefault="003F4B31" w:rsidP="00810AAA">
    <w:pPr>
      <w:pStyle w:val="a4"/>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80666B">
    <w:pPr>
      <w:pStyle w:val="a4"/>
      <w:jc w:val="center"/>
    </w:pPr>
    <w:r>
      <w:t xml:space="preserve"> </w:t>
    </w:r>
  </w:p>
  <w:p w:rsidR="00810AAA" w:rsidRDefault="003F4B31" w:rsidP="00810AAA">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913"/>
    <w:rsid w:val="0036401B"/>
    <w:rsid w:val="003F4B31"/>
    <w:rsid w:val="00400727"/>
    <w:rsid w:val="0080666B"/>
    <w:rsid w:val="00893913"/>
    <w:rsid w:val="009C6CF9"/>
    <w:rsid w:val="00F00D4A"/>
    <w:rsid w:val="00FC5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9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3913"/>
    <w:rPr>
      <w:color w:val="0000FF"/>
      <w:u w:val="single"/>
    </w:rPr>
  </w:style>
  <w:style w:type="paragraph" w:styleId="a4">
    <w:name w:val="header"/>
    <w:basedOn w:val="a"/>
    <w:link w:val="a5"/>
    <w:rsid w:val="00893913"/>
    <w:pPr>
      <w:tabs>
        <w:tab w:val="center" w:pos="4677"/>
        <w:tab w:val="right" w:pos="9355"/>
      </w:tabs>
    </w:pPr>
  </w:style>
  <w:style w:type="character" w:customStyle="1" w:styleId="a5">
    <w:name w:val="Верхний колонтитул Знак"/>
    <w:basedOn w:val="a0"/>
    <w:link w:val="a4"/>
    <w:rsid w:val="00893913"/>
    <w:rPr>
      <w:rFonts w:ascii="Times New Roman" w:eastAsia="Times New Roman" w:hAnsi="Times New Roman" w:cs="Times New Roman"/>
      <w:sz w:val="24"/>
      <w:szCs w:val="24"/>
      <w:lang w:eastAsia="ru-RU"/>
    </w:rPr>
  </w:style>
  <w:style w:type="paragraph" w:styleId="a6">
    <w:name w:val="footer"/>
    <w:basedOn w:val="a"/>
    <w:link w:val="a7"/>
    <w:rsid w:val="00893913"/>
    <w:pPr>
      <w:tabs>
        <w:tab w:val="center" w:pos="4677"/>
        <w:tab w:val="right" w:pos="9355"/>
      </w:tabs>
    </w:pPr>
  </w:style>
  <w:style w:type="character" w:customStyle="1" w:styleId="a7">
    <w:name w:val="Нижний колонтитул Знак"/>
    <w:basedOn w:val="a0"/>
    <w:link w:val="a6"/>
    <w:rsid w:val="00893913"/>
    <w:rPr>
      <w:rFonts w:ascii="Times New Roman" w:eastAsia="Times New Roman" w:hAnsi="Times New Roman" w:cs="Times New Roman"/>
      <w:sz w:val="24"/>
      <w:szCs w:val="24"/>
      <w:lang w:eastAsia="ru-RU"/>
    </w:rPr>
  </w:style>
  <w:style w:type="paragraph" w:customStyle="1" w:styleId="ConsNormal">
    <w:name w:val="ConsNormal"/>
    <w:rsid w:val="0089391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893913"/>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9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3913"/>
    <w:rPr>
      <w:color w:val="0000FF"/>
      <w:u w:val="single"/>
    </w:rPr>
  </w:style>
  <w:style w:type="paragraph" w:styleId="a4">
    <w:name w:val="header"/>
    <w:basedOn w:val="a"/>
    <w:link w:val="a5"/>
    <w:rsid w:val="00893913"/>
    <w:pPr>
      <w:tabs>
        <w:tab w:val="center" w:pos="4677"/>
        <w:tab w:val="right" w:pos="9355"/>
      </w:tabs>
    </w:pPr>
  </w:style>
  <w:style w:type="character" w:customStyle="1" w:styleId="a5">
    <w:name w:val="Верхний колонтитул Знак"/>
    <w:basedOn w:val="a0"/>
    <w:link w:val="a4"/>
    <w:rsid w:val="00893913"/>
    <w:rPr>
      <w:rFonts w:ascii="Times New Roman" w:eastAsia="Times New Roman" w:hAnsi="Times New Roman" w:cs="Times New Roman"/>
      <w:sz w:val="24"/>
      <w:szCs w:val="24"/>
      <w:lang w:eastAsia="ru-RU"/>
    </w:rPr>
  </w:style>
  <w:style w:type="paragraph" w:styleId="a6">
    <w:name w:val="footer"/>
    <w:basedOn w:val="a"/>
    <w:link w:val="a7"/>
    <w:rsid w:val="00893913"/>
    <w:pPr>
      <w:tabs>
        <w:tab w:val="center" w:pos="4677"/>
        <w:tab w:val="right" w:pos="9355"/>
      </w:tabs>
    </w:pPr>
  </w:style>
  <w:style w:type="character" w:customStyle="1" w:styleId="a7">
    <w:name w:val="Нижний колонтитул Знак"/>
    <w:basedOn w:val="a0"/>
    <w:link w:val="a6"/>
    <w:rsid w:val="00893913"/>
    <w:rPr>
      <w:rFonts w:ascii="Times New Roman" w:eastAsia="Times New Roman" w:hAnsi="Times New Roman" w:cs="Times New Roman"/>
      <w:sz w:val="24"/>
      <w:szCs w:val="24"/>
      <w:lang w:eastAsia="ru-RU"/>
    </w:rPr>
  </w:style>
  <w:style w:type="paragraph" w:customStyle="1" w:styleId="ConsNormal">
    <w:name w:val="ConsNormal"/>
    <w:rsid w:val="0089391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893913"/>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3D164FBFF9202FBDB7BF07835F54CD4B5799BBF374B610338EFC109B875302858E7775281EC1413EI3o3G" TargetMode="External"/><Relationship Id="rId12"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3D164FBFF9202FBDB7BF07835F54CD4B5799BBF374B610338EFC109B875302858E7775281EC14434I3oEG" TargetMode="External"/><Relationship Id="rId4" Type="http://schemas.openxmlformats.org/officeDocument/2006/relationships/webSettings" Target="webSettings.xml"/><Relationship Id="rId9" Type="http://schemas.openxmlformats.org/officeDocument/2006/relationships/hyperlink" Target="consultantplus://offline/ref=3D164FBFF9202FBDB7BF07835F54CD4B5799BBF374B610338EFC109B875302858E7775281EC14439I3oE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1249</Words>
  <Characters>7120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Карниченко Вероника Александровна</dc:creator>
  <cp:lastModifiedBy>Goncharuk</cp:lastModifiedBy>
  <cp:revision>3</cp:revision>
  <dcterms:created xsi:type="dcterms:W3CDTF">2018-01-30T11:14:00Z</dcterms:created>
  <dcterms:modified xsi:type="dcterms:W3CDTF">2018-01-31T06:15:00Z</dcterms:modified>
</cp:coreProperties>
</file>