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A26B" w14:textId="77777777" w:rsidR="00456C86" w:rsidRPr="006D6FEE" w:rsidRDefault="00456C86" w:rsidP="00456C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08"/>
        <w:gridCol w:w="2489"/>
      </w:tblGrid>
      <w:tr w:rsidR="00456C86" w14:paraId="732FC55A" w14:textId="77777777" w:rsidTr="00873162">
        <w:trPr>
          <w:trHeight w:val="1719"/>
        </w:trPr>
        <w:tc>
          <w:tcPr>
            <w:tcW w:w="7008" w:type="dxa"/>
          </w:tcPr>
          <w:p w14:paraId="33B99872" w14:textId="77777777" w:rsidR="00456C86" w:rsidRDefault="00456C86" w:rsidP="00873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721A2261" w14:textId="77777777" w:rsidR="00456C86" w:rsidRDefault="00456C86" w:rsidP="00873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6FA5E2B0" w14:textId="77777777" w:rsidR="00456C86" w:rsidRDefault="00456C86" w:rsidP="00873162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49F67917" w14:textId="77777777" w:rsidR="00456C86" w:rsidRDefault="00456C86" w:rsidP="00873162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 xml:space="preserve">ПРЕСС-РЕЛИЗ                                                                            </w:t>
            </w:r>
          </w:p>
          <w:p w14:paraId="0F904AA4" w14:textId="1D17F494" w:rsidR="00456C86" w:rsidRPr="0011182B" w:rsidRDefault="006716D8" w:rsidP="00F8597F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8597F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456C86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="00456C86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апреля 2024</w:t>
            </w:r>
            <w:r w:rsidR="00456C8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24BE2" wp14:editId="6E35D3C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4B7F9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8H3gIAAMIFAAAOAAAAZHJzL2Uyb0RvYy54bWysVN1u0zAUvkfiHazcZ0na9C9aO21pChcD&#10;JjbEtZs4jUViR7bbtEJIwDXSHoFX4AKkSQOeIX0jjp02W8cNQmul6Bz/fP7Odz77+GRd5GhFhKSc&#10;jS3vyLUQYTFPKFuMrTdXM3toIakwS3DOGRlbGyKtk8nTJ8dVGZAOz3ieEIEAhMmgKsdWplQZOI6M&#10;M1JgecRLwmAy5aLAClKxcBKBK0Avcqfjun2n4iIpBY+JlDA6bSaticFPUxKrV2kqiUL52AJuynyF&#10;+c7115kc42AhcJnReEcD/weLAlMGh7ZQU6wwWgr6F1RBY8ElT9VRzAuHpymNiakBqvHcB9VcZrgk&#10;phYQR5atTPLxYOOXqwuBaDK2OhZiuIAW1V+3H7fX9c/62/YabT/Vv+sf9ff6pv5V32w/Q3y7/QKx&#10;nqxvd8PXqKOVrEoZAGDILoTWIl6zy/Kcx+8kYjzMMFsQU9HVpoRjPL3DOdiiE1kCn3n1giewBi8V&#10;N7KuU1GgNKflc71Rg4N0aG36uGn7SNYKxTDo99x+b9SzULyfc3CgIfTGUkj1jPAC6WBs5ZRpiXGA&#10;V+dSaUp3S/Qw4zOa58YmOUMV6NTzXdfskDyniZ7V66RYzMNcoBXWToNf1DcFwsz9ZYIvWWLQMoKT&#10;aBcrTPMmhtNzpvGIMW9DCbK1gtCMQ43GWO9H7igaRkPf9jv9yPbd6dQ+nYW+3Z95g960Ow3DqfdB&#10;E/X8IKNJQpjmuje55/+biXbXrbFna/NWFecQ3cgHZA+Zns567sDvDu3BoNe1/W7k2mfDWWifhl6/&#10;P4jOwrPoAdPIVC8fh2wrpWbFl4qIyyyp0DxfitcYnA/9hI6ihGo/wKPSJPBI6E6bTHD1lqrMuFe7&#10;TQMdNHzo6n/jo7zMcGOD7mA0Gu1d0PjDCNRyaOTad1pnba92CtwJCs7Yu8DcGn1Rmis358nmQuxv&#10;EzwUZtPuUdMv0f0c4vtP7+QPAA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AOPT8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89" w:type="dxa"/>
            <w:hideMark/>
          </w:tcPr>
          <w:p w14:paraId="2D8C1C8B" w14:textId="77777777" w:rsidR="00456C86" w:rsidRDefault="00456C86" w:rsidP="0087316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20B29E1" wp14:editId="21525E74">
                  <wp:extent cx="895350" cy="908050"/>
                  <wp:effectExtent l="0" t="0" r="0" b="6350"/>
                  <wp:docPr id="11756823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B30B21" w14:textId="77777777" w:rsidR="00456C86" w:rsidRDefault="00456C86" w:rsidP="00456C8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EA72A" w14:textId="77777777" w:rsidR="00456C86" w:rsidRPr="00897126" w:rsidRDefault="00456C86" w:rsidP="00456C86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Почта России запустила </w:t>
      </w:r>
      <w:r w:rsidR="00897126">
        <w:rPr>
          <w:rFonts w:ascii="Times New Roman" w:hAnsi="Times New Roman" w:cs="Times New Roman"/>
          <w:b/>
          <w:bCs/>
          <w:sz w:val="28"/>
          <w:szCs w:val="28"/>
        </w:rPr>
        <w:t>сервис пополнения карт банков Молдовы, Таджикистана и Киргизии</w:t>
      </w:r>
    </w:p>
    <w:p w14:paraId="5A1FB63F" w14:textId="252D0021" w:rsidR="00456C86" w:rsidRDefault="00F8597F" w:rsidP="0059441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 всех уральских отделениях </w:t>
      </w:r>
      <w:r w:rsidR="00303F00">
        <w:rPr>
          <w:rFonts w:ascii="Times New Roman" w:hAnsi="Times New Roman" w:cs="Times New Roman"/>
          <w:b/>
          <w:bCs/>
          <w:sz w:val="24"/>
          <w:szCs w:val="24"/>
        </w:rPr>
        <w:t>Почты теперь можно</w:t>
      </w:r>
      <w:r w:rsidR="00795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7E6A">
        <w:rPr>
          <w:rFonts w:ascii="Times New Roman" w:hAnsi="Times New Roman" w:cs="Times New Roman"/>
          <w:b/>
          <w:bCs/>
          <w:sz w:val="24"/>
          <w:szCs w:val="24"/>
        </w:rPr>
        <w:t xml:space="preserve">по номеру телефона </w:t>
      </w:r>
      <w:r w:rsidR="00795400">
        <w:rPr>
          <w:rFonts w:ascii="Times New Roman" w:hAnsi="Times New Roman" w:cs="Times New Roman"/>
          <w:b/>
          <w:bCs/>
          <w:sz w:val="24"/>
          <w:szCs w:val="24"/>
        </w:rPr>
        <w:t>пополнить карты банков Молдовы</w:t>
      </w:r>
      <w:r w:rsidR="008178FE">
        <w:rPr>
          <w:rFonts w:ascii="Times New Roman" w:hAnsi="Times New Roman" w:cs="Times New Roman"/>
          <w:b/>
          <w:bCs/>
          <w:sz w:val="24"/>
          <w:szCs w:val="24"/>
        </w:rPr>
        <w:t>, Таджикистана и Киргизии</w:t>
      </w:r>
      <w:r w:rsidR="008178FE" w:rsidRPr="00630B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7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9F6D60" w14:textId="0D75670A" w:rsidR="00630B73" w:rsidRDefault="00932A4B" w:rsidP="00594417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того, чтобы перевести средства, достаточно сообщить оператору страну и банк, в котором открыт счёт, а также привязанный к нему номер мобильного телефона. </w:t>
      </w:r>
      <w:r w:rsidR="00A91055">
        <w:rPr>
          <w:rFonts w:ascii="Times New Roman" w:hAnsi="Times New Roman" w:cs="Times New Roman"/>
          <w:bCs/>
          <w:sz w:val="24"/>
          <w:szCs w:val="24"/>
        </w:rPr>
        <w:t xml:space="preserve">Перевод поступит на </w:t>
      </w:r>
      <w:r w:rsidR="00A91055" w:rsidRPr="00584DC5">
        <w:rPr>
          <w:rFonts w:ascii="Times New Roman" w:hAnsi="Times New Roman" w:cs="Times New Roman"/>
          <w:bCs/>
          <w:sz w:val="24"/>
          <w:szCs w:val="24"/>
        </w:rPr>
        <w:t>карту</w:t>
      </w:r>
      <w:r w:rsidR="00DF7E6A" w:rsidRPr="00584DC5">
        <w:rPr>
          <w:rFonts w:ascii="Times New Roman" w:hAnsi="Times New Roman" w:cs="Times New Roman"/>
          <w:bCs/>
          <w:sz w:val="24"/>
          <w:szCs w:val="24"/>
        </w:rPr>
        <w:t xml:space="preserve"> получателя</w:t>
      </w:r>
      <w:r w:rsidR="00A91055" w:rsidRPr="00584DC5">
        <w:rPr>
          <w:rFonts w:ascii="Times New Roman" w:hAnsi="Times New Roman" w:cs="Times New Roman"/>
          <w:bCs/>
          <w:sz w:val="24"/>
          <w:szCs w:val="24"/>
        </w:rPr>
        <w:t xml:space="preserve"> сразу после приёма </w:t>
      </w:r>
      <w:r w:rsidR="00582D12" w:rsidRPr="00584DC5">
        <w:rPr>
          <w:rFonts w:ascii="Times New Roman" w:hAnsi="Times New Roman" w:cs="Times New Roman"/>
          <w:bCs/>
          <w:sz w:val="24"/>
          <w:szCs w:val="24"/>
        </w:rPr>
        <w:t xml:space="preserve">денежных средств </w:t>
      </w:r>
      <w:r w:rsidR="00A91055" w:rsidRPr="00584DC5">
        <w:rPr>
          <w:rFonts w:ascii="Times New Roman" w:hAnsi="Times New Roman" w:cs="Times New Roman"/>
          <w:bCs/>
          <w:sz w:val="24"/>
          <w:szCs w:val="24"/>
        </w:rPr>
        <w:t>в почтовом отделении.</w:t>
      </w:r>
      <w:r w:rsidR="00FA0C7B" w:rsidRPr="00584DC5">
        <w:rPr>
          <w:rFonts w:ascii="Times New Roman" w:hAnsi="Times New Roman" w:cs="Times New Roman"/>
          <w:bCs/>
          <w:sz w:val="24"/>
          <w:szCs w:val="24"/>
        </w:rPr>
        <w:t xml:space="preserve"> Денежные переводы в Киргизию на карту платежной</w:t>
      </w:r>
      <w:r w:rsidR="00FA0C7B" w:rsidRPr="00FA0C7B">
        <w:rPr>
          <w:rFonts w:ascii="Times New Roman" w:hAnsi="Times New Roman" w:cs="Times New Roman"/>
          <w:bCs/>
          <w:sz w:val="24"/>
          <w:szCs w:val="24"/>
        </w:rPr>
        <w:t xml:space="preserve"> системы </w:t>
      </w:r>
      <w:proofErr w:type="spellStart"/>
      <w:r w:rsidR="00FA0C7B" w:rsidRPr="00FA0C7B">
        <w:rPr>
          <w:rFonts w:ascii="Times New Roman" w:hAnsi="Times New Roman" w:cs="Times New Roman"/>
          <w:bCs/>
          <w:sz w:val="24"/>
          <w:szCs w:val="24"/>
        </w:rPr>
        <w:t>Elcart</w:t>
      </w:r>
      <w:proofErr w:type="spellEnd"/>
      <w:r w:rsidR="00FA0C7B" w:rsidRPr="00FA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C7B">
        <w:rPr>
          <w:rFonts w:ascii="Times New Roman" w:hAnsi="Times New Roman" w:cs="Times New Roman"/>
          <w:bCs/>
          <w:sz w:val="24"/>
          <w:szCs w:val="24"/>
        </w:rPr>
        <w:t xml:space="preserve">будут проходить </w:t>
      </w:r>
      <w:r w:rsidR="00FA0C7B" w:rsidRPr="00FA0C7B">
        <w:rPr>
          <w:rFonts w:ascii="Times New Roman" w:hAnsi="Times New Roman" w:cs="Times New Roman"/>
          <w:bCs/>
          <w:sz w:val="24"/>
          <w:szCs w:val="24"/>
        </w:rPr>
        <w:t>без комиссии, в</w:t>
      </w:r>
      <w:r w:rsidR="00FA0C7B">
        <w:rPr>
          <w:rFonts w:ascii="Times New Roman" w:hAnsi="Times New Roman" w:cs="Times New Roman"/>
          <w:bCs/>
          <w:sz w:val="24"/>
          <w:szCs w:val="24"/>
        </w:rPr>
        <w:t>о всех</w:t>
      </w:r>
      <w:r w:rsidR="00FA0C7B" w:rsidRPr="00FA0C7B">
        <w:rPr>
          <w:rFonts w:ascii="Times New Roman" w:hAnsi="Times New Roman" w:cs="Times New Roman"/>
          <w:bCs/>
          <w:sz w:val="24"/>
          <w:szCs w:val="24"/>
        </w:rPr>
        <w:t xml:space="preserve"> остальных случаях комиссия </w:t>
      </w:r>
      <w:r w:rsidR="00FA0C7B">
        <w:rPr>
          <w:rFonts w:ascii="Times New Roman" w:hAnsi="Times New Roman" w:cs="Times New Roman"/>
          <w:bCs/>
          <w:sz w:val="24"/>
          <w:szCs w:val="24"/>
        </w:rPr>
        <w:t xml:space="preserve">будет </w:t>
      </w:r>
      <w:r w:rsidR="00FA0C7B" w:rsidRPr="00FA0C7B">
        <w:rPr>
          <w:rFonts w:ascii="Times New Roman" w:hAnsi="Times New Roman" w:cs="Times New Roman"/>
          <w:bCs/>
          <w:sz w:val="24"/>
          <w:szCs w:val="24"/>
        </w:rPr>
        <w:t>минимальн</w:t>
      </w:r>
      <w:r w:rsidR="00FA0C7B">
        <w:rPr>
          <w:rFonts w:ascii="Times New Roman" w:hAnsi="Times New Roman" w:cs="Times New Roman"/>
          <w:bCs/>
          <w:sz w:val="24"/>
          <w:szCs w:val="24"/>
        </w:rPr>
        <w:t>ой</w:t>
      </w:r>
      <w:r w:rsidR="00FA0C7B" w:rsidRPr="00FA0C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2C6201" w14:textId="21C59D17" w:rsidR="00EF70A5" w:rsidRPr="00EF70A5" w:rsidRDefault="00EF70A5" w:rsidP="00582D12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F70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«Мы </w:t>
      </w:r>
      <w:r w:rsidR="00CF4C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расширяем </w:t>
      </w:r>
      <w:r w:rsidR="00CF4C6E" w:rsidRPr="007307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возможности</w:t>
      </w:r>
      <w:r w:rsidR="00CF4C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денежных переводов</w:t>
      </w:r>
      <w:r w:rsidRPr="00EF70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503A3" w:rsidRPr="00EF70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—</w:t>
      </w:r>
      <w:r w:rsidR="00A503A3" w:rsidRPr="00A503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84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клиенты теперь могут переводить</w:t>
      </w:r>
      <w:r w:rsidR="00CF4C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средств</w:t>
      </w:r>
      <w:r w:rsidR="00584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="00CF4C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F70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банковские карты Молдовы, Киргизии и Таджикистана. Для многих отделение почты расположено значите</w:t>
      </w:r>
      <w:r w:rsidR="007307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льно ближе, чем отделение банка</w:t>
      </w:r>
      <w:r w:rsidRPr="00EF70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Процедура оформления перевода очень простая, деньги поступают на счет мгновенно, всё это существенно экономит время, мы рассчитываем, что сервис будет популярен среди </w:t>
      </w:r>
      <w:r w:rsidRPr="007307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клиентов</w:t>
      </w:r>
      <w:r w:rsidRPr="00EF70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», —</w:t>
      </w:r>
      <w:r w:rsidRPr="00EF7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прокомментировал директор «Продуктовой фабрики» Почты России </w:t>
      </w:r>
      <w:r w:rsidRPr="00EF70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Антон Нечаев.</w:t>
      </w:r>
    </w:p>
    <w:p w14:paraId="3222BE23" w14:textId="4FD8FB45" w:rsidR="00582D12" w:rsidRPr="00630B73" w:rsidRDefault="00582D12" w:rsidP="00582D1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прошлом году в 30 000 почтовых отделений стала доступна услуга пополнения </w:t>
      </w:r>
      <w:r w:rsidRPr="00584DC5">
        <w:rPr>
          <w:rFonts w:ascii="Times New Roman" w:hAnsi="Times New Roman" w:cs="Times New Roman"/>
          <w:bCs/>
          <w:sz w:val="24"/>
          <w:szCs w:val="24"/>
        </w:rPr>
        <w:t xml:space="preserve">карт Армении и Киргизии по номеру банковской карты. Кроме того, </w:t>
      </w:r>
      <w:r w:rsidRPr="00584D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отделениях работает сервис международных </w:t>
      </w:r>
      <w:r w:rsidR="00DF7E6A" w:rsidRPr="00584DC5">
        <w:rPr>
          <w:rFonts w:ascii="Times New Roman" w:hAnsi="Times New Roman" w:cs="Times New Roman"/>
          <w:sz w:val="24"/>
          <w:szCs w:val="24"/>
          <w:shd w:val="clear" w:color="auto" w:fill="FFFFFF"/>
        </w:rPr>
        <w:t>денежных</w:t>
      </w:r>
      <w:r w:rsidRPr="00584D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переводов в Армению, Киргизию, Беларусь, </w:t>
      </w:r>
      <w:r w:rsidRPr="00584DC5">
        <w:rPr>
          <w:rFonts w:ascii="Times New Roman" w:hAnsi="Times New Roman" w:cs="Times New Roman"/>
          <w:color w:val="000000" w:themeColor="text1"/>
          <w:sz w:val="24"/>
          <w:szCs w:val="24"/>
        </w:rPr>
        <w:t>Молдо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ву</w:t>
      </w:r>
      <w:r w:rsidRPr="00630B73">
        <w:rPr>
          <w:rFonts w:ascii="Times New Roman" w:hAnsi="Times New Roman" w:cs="Times New Roman"/>
          <w:color w:val="000000" w:themeColor="text1"/>
          <w:sz w:val="24"/>
          <w:szCs w:val="24"/>
        </w:rPr>
        <w:t>, Таджики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F7E6A">
        <w:rPr>
          <w:rFonts w:ascii="Times New Roman" w:hAnsi="Times New Roman" w:cs="Times New Roman"/>
          <w:color w:val="000000" w:themeColor="text1"/>
          <w:sz w:val="24"/>
          <w:szCs w:val="24"/>
        </w:rPr>
        <w:t>тан, Монголию, Сербию, Абхазию</w:t>
      </w:r>
      <w:r w:rsidRPr="00630B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94417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Перечисленная сумма стан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 </w:t>
      </w:r>
      <w:r w:rsidRPr="00594417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доступна получателю сразу после отправки. Перевод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 работают</w:t>
      </w:r>
      <w:r w:rsidRPr="005944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обратном направлении</w:t>
      </w:r>
      <w:r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79E503CD" w14:textId="77777777" w:rsidR="00582D12" w:rsidRPr="00693F9F" w:rsidRDefault="00582D12" w:rsidP="00456C86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CFCD6D" w14:textId="77777777" w:rsidR="00456C86" w:rsidRPr="00582D12" w:rsidRDefault="00582D12" w:rsidP="00582D1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14:paraId="7C08B579" w14:textId="77777777" w:rsidR="00582D12" w:rsidRDefault="00582D12" w:rsidP="00582D1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АО «Почта России» —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54 млн километров.</w:t>
      </w:r>
    </w:p>
    <w:p w14:paraId="7526CBDB" w14:textId="77777777" w:rsidR="00582D12" w:rsidRDefault="00582D12" w:rsidP="00582D1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6C6775C9" w14:textId="77777777" w:rsidR="00582D12" w:rsidRDefault="00582D12" w:rsidP="00582D1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Почта России — один из самых крупных работодателей страны. Численность почтовых работников составляет 2</w:t>
      </w:r>
      <w:r w:rsidRPr="009B0583">
        <w:rPr>
          <w:rFonts w:ascii="Times New Roman" w:eastAsia="Times New Roman" w:hAnsi="Times New Roman" w:cs="Times New Roman"/>
          <w:i/>
          <w:sz w:val="20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5 000 человек.</w:t>
      </w:r>
    </w:p>
    <w:p w14:paraId="581E8925" w14:textId="77777777" w:rsidR="00582D12" w:rsidRPr="003A48E0" w:rsidRDefault="00582D12" w:rsidP="00582D12">
      <w:pPr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Ежегодно Почта России принимает около 1 млрд бумажных писем и обрабатывает около 240 млн посылок. Компания помогает переводить юридически значимую переписку в цифровой формат — в 2023 г. Почта доставила 302 млн электронных заказных писем. Почта России обслуживает около 20 млн подписчиков в России, которым доставляется более 400 млн экземпляров печатных изданий в год. Ежегодный объём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lastRenderedPageBreak/>
        <w:t>транзакций, которые проходят через Почту России, составляет около 2,6 триллиона рублей (пенсии, платежи и переводы).</w:t>
      </w:r>
    </w:p>
    <w:p w14:paraId="2680244A" w14:textId="4A6AAEC1" w:rsidR="00582D12" w:rsidRDefault="00582D12" w:rsidP="00582D12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Пресс-служба АО «Почта России»</w:t>
      </w:r>
    </w:p>
    <w:p w14:paraId="79BF07DD" w14:textId="7B12F792" w:rsidR="00F8597F" w:rsidRDefault="00F8597F" w:rsidP="00582D12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Анна Первушина</w:t>
      </w:r>
      <w:bookmarkStart w:id="0" w:name="_GoBack"/>
      <w:bookmarkEnd w:id="0"/>
    </w:p>
    <w:p w14:paraId="21B09C2B" w14:textId="5CEACB1D" w:rsidR="00F8597F" w:rsidRDefault="00F8597F" w:rsidP="00582D12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+79221036178</w:t>
      </w:r>
    </w:p>
    <w:p w14:paraId="3AB67DF6" w14:textId="77777777" w:rsidR="00582D12" w:rsidRDefault="00582D12" w:rsidP="00582D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60B1126" w14:textId="77777777" w:rsidR="00582D12" w:rsidRDefault="00582D12" w:rsidP="00582D12">
      <w:pPr>
        <w:rPr>
          <w:rFonts w:ascii="Times New Roman" w:hAnsi="Times New Roman" w:cs="Times New Roman"/>
          <w:sz w:val="28"/>
          <w:szCs w:val="28"/>
        </w:rPr>
      </w:pPr>
    </w:p>
    <w:p w14:paraId="719D9CEB" w14:textId="77777777" w:rsidR="00456C86" w:rsidRDefault="00456C86" w:rsidP="00456C86">
      <w:pPr>
        <w:rPr>
          <w:rFonts w:ascii="Times New Roman" w:hAnsi="Times New Roman" w:cs="Times New Roman"/>
          <w:sz w:val="28"/>
          <w:szCs w:val="28"/>
        </w:rPr>
      </w:pPr>
    </w:p>
    <w:p w14:paraId="4699D377" w14:textId="77777777" w:rsidR="00F4372D" w:rsidRPr="00456C86" w:rsidRDefault="00F8597F" w:rsidP="00456C86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F4372D" w:rsidRPr="00456C86" w:rsidSect="006A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2F"/>
    <w:rsid w:val="00040F2A"/>
    <w:rsid w:val="00081BBF"/>
    <w:rsid w:val="000975B4"/>
    <w:rsid w:val="001C250A"/>
    <w:rsid w:val="00202197"/>
    <w:rsid w:val="00303F00"/>
    <w:rsid w:val="003D2F1F"/>
    <w:rsid w:val="00456C86"/>
    <w:rsid w:val="0052618B"/>
    <w:rsid w:val="00582D12"/>
    <w:rsid w:val="00584DC5"/>
    <w:rsid w:val="00594417"/>
    <w:rsid w:val="005F6E22"/>
    <w:rsid w:val="00630B73"/>
    <w:rsid w:val="006716D8"/>
    <w:rsid w:val="00687081"/>
    <w:rsid w:val="0069172D"/>
    <w:rsid w:val="00693F9F"/>
    <w:rsid w:val="006B01E6"/>
    <w:rsid w:val="007307BA"/>
    <w:rsid w:val="007433F5"/>
    <w:rsid w:val="00780096"/>
    <w:rsid w:val="00795400"/>
    <w:rsid w:val="007E542C"/>
    <w:rsid w:val="00810210"/>
    <w:rsid w:val="008178FE"/>
    <w:rsid w:val="00836FD7"/>
    <w:rsid w:val="00897126"/>
    <w:rsid w:val="00932A4B"/>
    <w:rsid w:val="00A503A3"/>
    <w:rsid w:val="00A91055"/>
    <w:rsid w:val="00AE2238"/>
    <w:rsid w:val="00B431A6"/>
    <w:rsid w:val="00B678A9"/>
    <w:rsid w:val="00BF2699"/>
    <w:rsid w:val="00C3719C"/>
    <w:rsid w:val="00CF4C6E"/>
    <w:rsid w:val="00D81C21"/>
    <w:rsid w:val="00D8704A"/>
    <w:rsid w:val="00DE3CDD"/>
    <w:rsid w:val="00DE7345"/>
    <w:rsid w:val="00DF7E6A"/>
    <w:rsid w:val="00E5222B"/>
    <w:rsid w:val="00EB03A9"/>
    <w:rsid w:val="00EF63C5"/>
    <w:rsid w:val="00EF70A5"/>
    <w:rsid w:val="00F57F6B"/>
    <w:rsid w:val="00F8597F"/>
    <w:rsid w:val="00FA0C7B"/>
    <w:rsid w:val="00FA2E2F"/>
    <w:rsid w:val="00FC38B7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AE30"/>
  <w15:chartTrackingRefBased/>
  <w15:docId w15:val="{939C020E-C5F0-4DAE-BF64-E172446C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F7E6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F7E6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F7E6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F7E6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F7E6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7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Первушина Анна Валентиновна</cp:lastModifiedBy>
  <cp:revision>2</cp:revision>
  <dcterms:created xsi:type="dcterms:W3CDTF">2024-04-17T04:03:00Z</dcterms:created>
  <dcterms:modified xsi:type="dcterms:W3CDTF">2024-04-17T04:03:00Z</dcterms:modified>
</cp:coreProperties>
</file>