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C8" w:rsidRPr="000F4DC8" w:rsidRDefault="000F4DC8" w:rsidP="000F4DC8">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0F4DC8" w:rsidRPr="000F4DC8" w:rsidTr="00B45C37">
        <w:tc>
          <w:tcPr>
            <w:tcW w:w="9639" w:type="dxa"/>
            <w:gridSpan w:val="5"/>
          </w:tcPr>
          <w:p w:rsidR="000F4DC8" w:rsidRPr="000F4DC8" w:rsidRDefault="000F4DC8" w:rsidP="000F4DC8">
            <w:pPr>
              <w:jc w:val="center"/>
              <w:rPr>
                <w:b/>
                <w:sz w:val="22"/>
                <w:szCs w:val="22"/>
              </w:rPr>
            </w:pPr>
          </w:p>
          <w:p w:rsidR="000F4DC8" w:rsidRPr="000F4DC8" w:rsidRDefault="000F4DC8" w:rsidP="000F4DC8">
            <w:pPr>
              <w:ind w:left="-57"/>
              <w:jc w:val="center"/>
              <w:rPr>
                <w:b/>
                <w:spacing w:val="2"/>
                <w:sz w:val="28"/>
                <w:szCs w:val="28"/>
              </w:rPr>
            </w:pPr>
          </w:p>
          <w:p w:rsidR="000F4DC8" w:rsidRPr="000F4DC8" w:rsidRDefault="000F4DC8" w:rsidP="000F4DC8">
            <w:pPr>
              <w:ind w:left="-57"/>
              <w:jc w:val="center"/>
              <w:rPr>
                <w:b/>
                <w:spacing w:val="2"/>
                <w:sz w:val="32"/>
                <w:szCs w:val="32"/>
              </w:rPr>
            </w:pPr>
          </w:p>
        </w:tc>
      </w:tr>
      <w:tr w:rsidR="000F4DC8" w:rsidRPr="000F4DC8" w:rsidTr="00B45C37">
        <w:trPr>
          <w:trHeight w:val="524"/>
        </w:trPr>
        <w:tc>
          <w:tcPr>
            <w:tcW w:w="9639" w:type="dxa"/>
            <w:gridSpan w:val="5"/>
          </w:tcPr>
          <w:p w:rsidR="000F4DC8" w:rsidRPr="000F4DC8" w:rsidRDefault="000F4DC8" w:rsidP="000F4DC8">
            <w:pPr>
              <w:tabs>
                <w:tab w:val="left" w:leader="underscore" w:pos="9639"/>
              </w:tabs>
              <w:jc w:val="center"/>
              <w:rPr>
                <w:b/>
                <w:sz w:val="28"/>
                <w:szCs w:val="28"/>
              </w:rPr>
            </w:pPr>
            <w:r w:rsidRPr="000F4DC8">
              <w:rPr>
                <w:b/>
                <w:sz w:val="28"/>
                <w:szCs w:val="28"/>
              </w:rPr>
              <w:t xml:space="preserve">АДМИНИСТРАЦИЯ ГОРОДСКОГО ОКРУГА </w:t>
            </w:r>
          </w:p>
          <w:p w:rsidR="000F4DC8" w:rsidRPr="000F4DC8" w:rsidRDefault="000F4DC8" w:rsidP="000F4DC8">
            <w:pPr>
              <w:tabs>
                <w:tab w:val="left" w:leader="underscore" w:pos="9639"/>
              </w:tabs>
              <w:jc w:val="center"/>
              <w:rPr>
                <w:b/>
              </w:rPr>
            </w:pPr>
            <w:r w:rsidRPr="000F4DC8">
              <w:rPr>
                <w:b/>
                <w:sz w:val="28"/>
                <w:szCs w:val="28"/>
              </w:rPr>
              <w:t>Верхняя Пышма</w:t>
            </w:r>
          </w:p>
          <w:p w:rsidR="000F4DC8" w:rsidRPr="000F4DC8" w:rsidRDefault="000F4DC8" w:rsidP="000F4DC8">
            <w:pPr>
              <w:jc w:val="center"/>
              <w:rPr>
                <w:b/>
                <w:spacing w:val="40"/>
                <w:sz w:val="34"/>
                <w:szCs w:val="34"/>
              </w:rPr>
            </w:pPr>
            <w:r w:rsidRPr="000F4DC8">
              <w:rPr>
                <w:b/>
                <w:spacing w:val="80"/>
                <w:sz w:val="32"/>
                <w:szCs w:val="32"/>
              </w:rPr>
              <w:t>ПОСТАНОВЛЕНИЕ</w:t>
            </w:r>
          </w:p>
          <w:p w:rsidR="000F4DC8" w:rsidRPr="000F4DC8" w:rsidRDefault="000F4DC8" w:rsidP="000F4DC8">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F4DC8" w:rsidRPr="000F4DC8" w:rsidTr="00B45C37">
        <w:trPr>
          <w:trHeight w:val="524"/>
        </w:trPr>
        <w:tc>
          <w:tcPr>
            <w:tcW w:w="285" w:type="dxa"/>
            <w:vAlign w:val="bottom"/>
          </w:tcPr>
          <w:p w:rsidR="000F4DC8" w:rsidRPr="000F4DC8" w:rsidRDefault="000F4DC8" w:rsidP="000F4DC8">
            <w:pPr>
              <w:tabs>
                <w:tab w:val="left" w:leader="underscore" w:pos="9639"/>
              </w:tabs>
              <w:rPr>
                <w:szCs w:val="28"/>
              </w:rPr>
            </w:pPr>
            <w:r w:rsidRPr="000F4DC8">
              <w:rPr>
                <w:szCs w:val="28"/>
              </w:rPr>
              <w:t>от</w:t>
            </w:r>
          </w:p>
        </w:tc>
        <w:tc>
          <w:tcPr>
            <w:tcW w:w="1854" w:type="dxa"/>
            <w:tcBorders>
              <w:bottom w:val="single" w:sz="4" w:space="0" w:color="auto"/>
            </w:tcBorders>
            <w:vAlign w:val="bottom"/>
          </w:tcPr>
          <w:p w:rsidR="000F4DC8" w:rsidRPr="000F4DC8" w:rsidRDefault="000F4DC8" w:rsidP="00442229">
            <w:pPr>
              <w:tabs>
                <w:tab w:val="left" w:leader="underscore" w:pos="9639"/>
              </w:tabs>
              <w:jc w:val="center"/>
              <w:rPr>
                <w:b/>
                <w:szCs w:val="28"/>
              </w:rPr>
            </w:pPr>
            <w:fldSimple w:instr=" DOCPROPERTY  Рег.дата  \* MERGEFORMAT ">
              <w:r w:rsidRPr="000F4DC8">
                <w:t xml:space="preserve"> </w:t>
              </w:r>
            </w:fldSimple>
            <w:r w:rsidR="00442229">
              <w:t xml:space="preserve"> </w:t>
            </w:r>
          </w:p>
        </w:tc>
        <w:tc>
          <w:tcPr>
            <w:tcW w:w="428" w:type="dxa"/>
            <w:vAlign w:val="bottom"/>
          </w:tcPr>
          <w:p w:rsidR="000F4DC8" w:rsidRPr="000F4DC8" w:rsidRDefault="000F4DC8" w:rsidP="000F4DC8">
            <w:pPr>
              <w:tabs>
                <w:tab w:val="left" w:leader="underscore" w:pos="9639"/>
              </w:tabs>
              <w:jc w:val="center"/>
              <w:rPr>
                <w:b/>
                <w:szCs w:val="28"/>
              </w:rPr>
            </w:pPr>
            <w:r w:rsidRPr="000F4DC8">
              <w:rPr>
                <w:szCs w:val="28"/>
              </w:rPr>
              <w:t>№</w:t>
            </w:r>
          </w:p>
        </w:tc>
        <w:tc>
          <w:tcPr>
            <w:tcW w:w="570" w:type="dxa"/>
            <w:tcBorders>
              <w:bottom w:val="single" w:sz="4" w:space="0" w:color="auto"/>
            </w:tcBorders>
            <w:vAlign w:val="bottom"/>
          </w:tcPr>
          <w:p w:rsidR="000F4DC8" w:rsidRPr="000F4DC8" w:rsidRDefault="00442229" w:rsidP="000F4DC8">
            <w:pPr>
              <w:tabs>
                <w:tab w:val="left" w:leader="underscore" w:pos="9639"/>
              </w:tabs>
              <w:jc w:val="center"/>
              <w:rPr>
                <w:b/>
                <w:szCs w:val="28"/>
              </w:rPr>
            </w:pPr>
            <w:r>
              <w:t xml:space="preserve"> </w:t>
            </w:r>
            <w:bookmarkStart w:id="0" w:name="_GoBack"/>
            <w:bookmarkEnd w:id="0"/>
          </w:p>
        </w:tc>
        <w:tc>
          <w:tcPr>
            <w:tcW w:w="6502" w:type="dxa"/>
            <w:vAlign w:val="bottom"/>
          </w:tcPr>
          <w:p w:rsidR="000F4DC8" w:rsidRPr="000F4DC8" w:rsidRDefault="000F4DC8" w:rsidP="000F4DC8">
            <w:pPr>
              <w:tabs>
                <w:tab w:val="left" w:leader="underscore" w:pos="9639"/>
              </w:tabs>
              <w:jc w:val="center"/>
              <w:rPr>
                <w:b/>
                <w:szCs w:val="28"/>
              </w:rPr>
            </w:pPr>
          </w:p>
        </w:tc>
      </w:tr>
      <w:tr w:rsidR="000F4DC8" w:rsidRPr="000F4DC8" w:rsidTr="00B45C37">
        <w:trPr>
          <w:trHeight w:val="130"/>
        </w:trPr>
        <w:tc>
          <w:tcPr>
            <w:tcW w:w="9639" w:type="dxa"/>
            <w:gridSpan w:val="5"/>
          </w:tcPr>
          <w:p w:rsidR="000F4DC8" w:rsidRPr="000F4DC8" w:rsidRDefault="000F4DC8" w:rsidP="000F4DC8">
            <w:pPr>
              <w:rPr>
                <w:sz w:val="20"/>
                <w:szCs w:val="28"/>
              </w:rPr>
            </w:pPr>
          </w:p>
        </w:tc>
      </w:tr>
      <w:tr w:rsidR="000F4DC8" w:rsidRPr="000F4DC8" w:rsidTr="00B45C37">
        <w:tc>
          <w:tcPr>
            <w:tcW w:w="9639" w:type="dxa"/>
            <w:gridSpan w:val="5"/>
          </w:tcPr>
          <w:p w:rsidR="000F4DC8" w:rsidRPr="000F4DC8" w:rsidRDefault="000F4DC8" w:rsidP="000F4DC8">
            <w:pPr>
              <w:rPr>
                <w:sz w:val="20"/>
                <w:szCs w:val="28"/>
              </w:rPr>
            </w:pPr>
            <w:r w:rsidRPr="000F4DC8">
              <w:rPr>
                <w:sz w:val="20"/>
                <w:szCs w:val="28"/>
              </w:rPr>
              <w:t>г. Верхняя Пышма</w:t>
            </w:r>
          </w:p>
          <w:p w:rsidR="000F4DC8" w:rsidRPr="000F4DC8" w:rsidRDefault="000F4DC8" w:rsidP="000F4DC8">
            <w:pPr>
              <w:rPr>
                <w:sz w:val="28"/>
                <w:szCs w:val="28"/>
              </w:rPr>
            </w:pPr>
          </w:p>
          <w:p w:rsidR="000F4DC8" w:rsidRPr="000F4DC8" w:rsidRDefault="000F4DC8" w:rsidP="000F4DC8">
            <w:pPr>
              <w:rPr>
                <w:sz w:val="28"/>
                <w:szCs w:val="28"/>
              </w:rPr>
            </w:pPr>
          </w:p>
        </w:tc>
      </w:tr>
      <w:tr w:rsidR="000F4DC8" w:rsidRPr="000F4DC8" w:rsidTr="00B45C37">
        <w:tc>
          <w:tcPr>
            <w:tcW w:w="9639" w:type="dxa"/>
            <w:gridSpan w:val="5"/>
          </w:tcPr>
          <w:p w:rsidR="000F4DC8" w:rsidRPr="000F4DC8" w:rsidRDefault="000F4DC8" w:rsidP="000F4DC8">
            <w:pPr>
              <w:jc w:val="center"/>
              <w:rPr>
                <w:b/>
                <w:i/>
                <w:sz w:val="28"/>
                <w:szCs w:val="28"/>
              </w:rPr>
            </w:pPr>
            <w:r w:rsidRPr="000F4DC8">
              <w:rPr>
                <w:b/>
                <w:i/>
                <w:sz w:val="28"/>
                <w:szCs w:val="28"/>
              </w:rPr>
              <w:t>О внесении изменений Порядок предоставления субсидии из бюджета городского округа Верхняя Пышма на инженерное обустройство земель для ведения коллективного садоводства садоводческим некоммерческим объединениям, расположенным на территории городского округа Верхняя Пышма, утвержденный постановлением администрации городского округа Верхняя Пышма от 15.05.2014 № 838</w:t>
            </w:r>
          </w:p>
        </w:tc>
      </w:tr>
      <w:tr w:rsidR="000F4DC8" w:rsidRPr="000F4DC8" w:rsidTr="00B45C37">
        <w:tc>
          <w:tcPr>
            <w:tcW w:w="9639" w:type="dxa"/>
            <w:gridSpan w:val="5"/>
          </w:tcPr>
          <w:p w:rsidR="000F4DC8" w:rsidRPr="000F4DC8" w:rsidRDefault="000F4DC8" w:rsidP="000F4DC8">
            <w:pPr>
              <w:jc w:val="both"/>
              <w:rPr>
                <w:sz w:val="28"/>
                <w:szCs w:val="28"/>
              </w:rPr>
            </w:pPr>
          </w:p>
          <w:p w:rsidR="000F4DC8" w:rsidRPr="000F4DC8" w:rsidRDefault="000F4DC8" w:rsidP="000F4DC8">
            <w:pPr>
              <w:jc w:val="both"/>
              <w:rPr>
                <w:sz w:val="28"/>
                <w:szCs w:val="28"/>
              </w:rPr>
            </w:pPr>
          </w:p>
          <w:p w:rsidR="000F4DC8" w:rsidRPr="000F4DC8" w:rsidRDefault="000F4DC8" w:rsidP="000F4DC8">
            <w:pPr>
              <w:ind w:firstLine="709"/>
              <w:jc w:val="both"/>
              <w:rPr>
                <w:sz w:val="28"/>
                <w:szCs w:val="28"/>
              </w:rPr>
            </w:pPr>
            <w:r w:rsidRPr="000F4DC8">
              <w:rPr>
                <w:sz w:val="28"/>
                <w:szCs w:val="28"/>
              </w:rPr>
              <w:t>В соответствии с постановлением Правительства Российской Федерации от 07.05.2017 № 541 «Об общих требованиях</w:t>
            </w:r>
            <w:r w:rsidRPr="000F4DC8">
              <w:rPr>
                <w:b/>
                <w:sz w:val="28"/>
                <w:szCs w:val="28"/>
              </w:rPr>
              <w:t xml:space="preserve"> </w:t>
            </w:r>
            <w:r w:rsidRPr="000F4DC8">
              <w:rPr>
                <w:sz w:val="28"/>
                <w:szCs w:val="28"/>
              </w:rPr>
              <w:t>к нормативным правовым актам, муниципальным правовым актам,</w:t>
            </w:r>
            <w:r w:rsidRPr="000F4DC8">
              <w:rPr>
                <w:b/>
                <w:sz w:val="28"/>
                <w:szCs w:val="28"/>
              </w:rPr>
              <w:t xml:space="preserve"> </w:t>
            </w:r>
            <w:r w:rsidRPr="000F4DC8">
              <w:rPr>
                <w:sz w:val="28"/>
                <w:szCs w:val="28"/>
              </w:rPr>
              <w:t>регулирующим предоставление субсидий некоммерческим</w:t>
            </w:r>
            <w:r w:rsidRPr="000F4DC8">
              <w:rPr>
                <w:b/>
                <w:sz w:val="28"/>
                <w:szCs w:val="28"/>
              </w:rPr>
              <w:t xml:space="preserve"> </w:t>
            </w:r>
            <w:r w:rsidRPr="000F4DC8">
              <w:rPr>
                <w:sz w:val="28"/>
                <w:szCs w:val="28"/>
              </w:rPr>
              <w:t>организациям, не являющимся государственными</w:t>
            </w:r>
            <w:r w:rsidRPr="000F4DC8">
              <w:rPr>
                <w:b/>
                <w:sz w:val="28"/>
                <w:szCs w:val="28"/>
              </w:rPr>
              <w:t xml:space="preserve"> </w:t>
            </w:r>
            <w:r w:rsidRPr="000F4DC8">
              <w:rPr>
                <w:sz w:val="28"/>
                <w:szCs w:val="28"/>
              </w:rPr>
              <w:t>(муниципальными) учреждениями</w:t>
            </w:r>
            <w:r w:rsidRPr="000F4DC8">
              <w:rPr>
                <w:b/>
                <w:sz w:val="28"/>
                <w:szCs w:val="28"/>
              </w:rPr>
              <w:t>»</w:t>
            </w:r>
            <w:r w:rsidRPr="000F4DC8">
              <w:rPr>
                <w:sz w:val="28"/>
                <w:szCs w:val="28"/>
              </w:rPr>
              <w:t>,</w:t>
            </w:r>
            <w:r w:rsidRPr="000F4DC8">
              <w:rPr>
                <w:b/>
                <w:sz w:val="28"/>
                <w:szCs w:val="28"/>
              </w:rPr>
              <w:t xml:space="preserve"> </w:t>
            </w:r>
            <w:r w:rsidRPr="000F4DC8">
              <w:rPr>
                <w:sz w:val="28"/>
                <w:szCs w:val="28"/>
              </w:rPr>
              <w:t>администрация городского округа Верхняя Пышма</w:t>
            </w:r>
          </w:p>
        </w:tc>
      </w:tr>
    </w:tbl>
    <w:p w:rsidR="000F4DC8" w:rsidRPr="000F4DC8" w:rsidRDefault="000F4DC8" w:rsidP="000F4DC8">
      <w:pPr>
        <w:widowControl w:val="0"/>
        <w:jc w:val="both"/>
        <w:rPr>
          <w:sz w:val="28"/>
          <w:szCs w:val="28"/>
        </w:rPr>
      </w:pPr>
      <w:r w:rsidRPr="000F4DC8">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0F4DC8" w:rsidRPr="000F4DC8" w:rsidTr="00B45C37">
        <w:trPr>
          <w:trHeight w:val="975"/>
        </w:trPr>
        <w:tc>
          <w:tcPr>
            <w:tcW w:w="9637" w:type="dxa"/>
            <w:gridSpan w:val="2"/>
            <w:vAlign w:val="bottom"/>
          </w:tcPr>
          <w:p w:rsidR="000F4DC8" w:rsidRPr="000F4DC8" w:rsidRDefault="000F4DC8" w:rsidP="000F4DC8">
            <w:pPr>
              <w:widowControl w:val="0"/>
              <w:numPr>
                <w:ilvl w:val="0"/>
                <w:numId w:val="19"/>
              </w:numPr>
              <w:autoSpaceDE w:val="0"/>
              <w:autoSpaceDN w:val="0"/>
              <w:adjustRightInd w:val="0"/>
              <w:ind w:left="0" w:firstLine="709"/>
              <w:contextualSpacing/>
              <w:jc w:val="both"/>
              <w:rPr>
                <w:sz w:val="28"/>
                <w:szCs w:val="28"/>
              </w:rPr>
            </w:pPr>
            <w:r w:rsidRPr="000F4DC8">
              <w:rPr>
                <w:sz w:val="28"/>
                <w:szCs w:val="28"/>
              </w:rPr>
              <w:t>Внести в</w:t>
            </w:r>
            <w:r w:rsidRPr="000F4DC8">
              <w:rPr>
                <w:b/>
                <w:sz w:val="28"/>
                <w:szCs w:val="28"/>
              </w:rPr>
              <w:t xml:space="preserve"> </w:t>
            </w:r>
            <w:r w:rsidRPr="000F4DC8">
              <w:rPr>
                <w:sz w:val="28"/>
                <w:szCs w:val="28"/>
              </w:rPr>
              <w:t>Порядок предоставления субсидии из бюджета городского округа Верхняя Пышма на инженерное обустройство земель для ведения коллективного садоводства садоводческим некоммерческим объединениям, расположенным на территории городского округа Верхняя Пышма                     (далее – Порядок), утвержденный постановлением администрации городского округа Верхняя Пышма от 15.05.2014 № 838, следующие изменения:</w:t>
            </w:r>
          </w:p>
          <w:p w:rsidR="000F4DC8" w:rsidRPr="000F4DC8" w:rsidRDefault="000F4DC8" w:rsidP="000F4DC8">
            <w:pPr>
              <w:widowControl w:val="0"/>
              <w:numPr>
                <w:ilvl w:val="0"/>
                <w:numId w:val="20"/>
              </w:numPr>
              <w:autoSpaceDE w:val="0"/>
              <w:autoSpaceDN w:val="0"/>
              <w:ind w:left="0" w:firstLine="709"/>
              <w:jc w:val="both"/>
              <w:rPr>
                <w:sz w:val="28"/>
                <w:szCs w:val="28"/>
              </w:rPr>
            </w:pPr>
            <w:r w:rsidRPr="000F4DC8">
              <w:rPr>
                <w:sz w:val="28"/>
                <w:szCs w:val="28"/>
              </w:rPr>
              <w:t>пункт 6 дополнить подпунктами 5, 6 следующего содержания:</w:t>
            </w:r>
          </w:p>
          <w:p w:rsidR="000F4DC8" w:rsidRPr="000F4DC8" w:rsidRDefault="000F4DC8" w:rsidP="000F4DC8">
            <w:pPr>
              <w:widowControl w:val="0"/>
              <w:autoSpaceDE w:val="0"/>
              <w:autoSpaceDN w:val="0"/>
              <w:ind w:firstLine="709"/>
              <w:jc w:val="both"/>
              <w:rPr>
                <w:sz w:val="28"/>
                <w:szCs w:val="28"/>
              </w:rPr>
            </w:pPr>
            <w:r w:rsidRPr="000F4DC8">
              <w:rPr>
                <w:sz w:val="28"/>
                <w:szCs w:val="28"/>
              </w:rPr>
              <w:t>«5)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F4DC8" w:rsidRPr="000F4DC8" w:rsidRDefault="000F4DC8" w:rsidP="000F4DC8">
            <w:pPr>
              <w:widowControl w:val="0"/>
              <w:autoSpaceDE w:val="0"/>
              <w:autoSpaceDN w:val="0"/>
              <w:ind w:firstLine="709"/>
              <w:jc w:val="both"/>
              <w:rPr>
                <w:sz w:val="28"/>
                <w:szCs w:val="28"/>
              </w:rPr>
            </w:pPr>
            <w:r w:rsidRPr="000F4DC8">
              <w:rPr>
                <w:sz w:val="28"/>
                <w:szCs w:val="28"/>
              </w:rPr>
              <w:t>6) получатель субсидии не должен находиться в процессе реорганизации, ликвидации, банкротства»;</w:t>
            </w:r>
          </w:p>
          <w:p w:rsidR="000F4DC8" w:rsidRPr="000F4DC8" w:rsidRDefault="000F4DC8" w:rsidP="000F4DC8">
            <w:pPr>
              <w:widowControl w:val="0"/>
              <w:numPr>
                <w:ilvl w:val="0"/>
                <w:numId w:val="20"/>
              </w:numPr>
              <w:autoSpaceDE w:val="0"/>
              <w:autoSpaceDN w:val="0"/>
              <w:ind w:left="0" w:firstLine="709"/>
              <w:jc w:val="both"/>
              <w:rPr>
                <w:sz w:val="28"/>
                <w:szCs w:val="28"/>
              </w:rPr>
            </w:pPr>
            <w:r w:rsidRPr="000F4DC8">
              <w:rPr>
                <w:sz w:val="28"/>
                <w:szCs w:val="28"/>
              </w:rPr>
              <w:t>в пункте 12:</w:t>
            </w:r>
          </w:p>
          <w:p w:rsidR="000F4DC8" w:rsidRPr="000F4DC8" w:rsidRDefault="000F4DC8" w:rsidP="000F4DC8">
            <w:pPr>
              <w:widowControl w:val="0"/>
              <w:autoSpaceDE w:val="0"/>
              <w:autoSpaceDN w:val="0"/>
              <w:ind w:firstLine="709"/>
              <w:jc w:val="both"/>
              <w:rPr>
                <w:sz w:val="28"/>
                <w:szCs w:val="28"/>
              </w:rPr>
            </w:pPr>
            <w:r w:rsidRPr="000F4DC8">
              <w:rPr>
                <w:sz w:val="28"/>
                <w:szCs w:val="28"/>
              </w:rPr>
              <w:t xml:space="preserve">- подпункт 2 изложить в следующей редакции: </w:t>
            </w:r>
          </w:p>
          <w:p w:rsidR="000F4DC8" w:rsidRPr="000F4DC8" w:rsidRDefault="000F4DC8" w:rsidP="000F4DC8">
            <w:pPr>
              <w:widowControl w:val="0"/>
              <w:autoSpaceDE w:val="0"/>
              <w:autoSpaceDN w:val="0"/>
              <w:ind w:firstLine="709"/>
              <w:jc w:val="both"/>
              <w:rPr>
                <w:sz w:val="28"/>
                <w:szCs w:val="28"/>
              </w:rPr>
            </w:pPr>
            <w:r w:rsidRPr="000F4DC8">
              <w:rPr>
                <w:sz w:val="28"/>
                <w:szCs w:val="28"/>
              </w:rPr>
              <w:t>«2) проектно-сметная документация с приложением расчетов и обоснований»;</w:t>
            </w:r>
          </w:p>
          <w:p w:rsidR="000F4DC8" w:rsidRPr="000F4DC8" w:rsidRDefault="000F4DC8" w:rsidP="000F4DC8">
            <w:pPr>
              <w:widowControl w:val="0"/>
              <w:autoSpaceDE w:val="0"/>
              <w:autoSpaceDN w:val="0"/>
              <w:ind w:firstLine="709"/>
              <w:jc w:val="both"/>
              <w:rPr>
                <w:sz w:val="28"/>
                <w:szCs w:val="28"/>
              </w:rPr>
            </w:pPr>
            <w:r w:rsidRPr="000F4DC8">
              <w:rPr>
                <w:sz w:val="28"/>
                <w:szCs w:val="28"/>
              </w:rPr>
              <w:t>- дополнить подпунктом 6 следующего содержания:</w:t>
            </w:r>
          </w:p>
          <w:p w:rsidR="000F4DC8" w:rsidRPr="000F4DC8" w:rsidRDefault="000F4DC8" w:rsidP="000F4DC8">
            <w:pPr>
              <w:widowControl w:val="0"/>
              <w:autoSpaceDE w:val="0"/>
              <w:autoSpaceDN w:val="0"/>
              <w:ind w:firstLine="709"/>
              <w:jc w:val="both"/>
              <w:rPr>
                <w:sz w:val="28"/>
                <w:szCs w:val="28"/>
              </w:rPr>
            </w:pPr>
            <w:r w:rsidRPr="000F4DC8">
              <w:rPr>
                <w:sz w:val="28"/>
                <w:szCs w:val="28"/>
              </w:rPr>
              <w:lastRenderedPageBreak/>
              <w:t>«6) сведения из Межрайонной ИФНС России № 32 об отсутствии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о том, что некоммерческая организация не находится в процессе реорганизации, ликвидации, банкротства»;</w:t>
            </w:r>
          </w:p>
          <w:p w:rsidR="000F4DC8" w:rsidRPr="000F4DC8" w:rsidRDefault="000F4DC8" w:rsidP="000F4DC8">
            <w:pPr>
              <w:widowControl w:val="0"/>
              <w:numPr>
                <w:ilvl w:val="0"/>
                <w:numId w:val="20"/>
              </w:numPr>
              <w:autoSpaceDE w:val="0"/>
              <w:autoSpaceDN w:val="0"/>
              <w:ind w:left="0" w:firstLine="709"/>
              <w:jc w:val="both"/>
              <w:rPr>
                <w:sz w:val="28"/>
                <w:szCs w:val="28"/>
              </w:rPr>
            </w:pPr>
            <w:r w:rsidRPr="000F4DC8">
              <w:rPr>
                <w:sz w:val="28"/>
                <w:szCs w:val="28"/>
              </w:rPr>
              <w:t xml:space="preserve">приложение № 3 к Порядку дополнить: </w:t>
            </w:r>
          </w:p>
          <w:p w:rsidR="000F4DC8" w:rsidRPr="000F4DC8" w:rsidRDefault="000F4DC8" w:rsidP="000F4DC8">
            <w:pPr>
              <w:widowControl w:val="0"/>
              <w:autoSpaceDE w:val="0"/>
              <w:autoSpaceDN w:val="0"/>
              <w:ind w:firstLine="709"/>
              <w:jc w:val="both"/>
              <w:rPr>
                <w:sz w:val="28"/>
                <w:szCs w:val="28"/>
              </w:rPr>
            </w:pPr>
            <w:r w:rsidRPr="000F4DC8">
              <w:rPr>
                <w:sz w:val="28"/>
                <w:szCs w:val="28"/>
              </w:rPr>
              <w:t xml:space="preserve">- пунктом 2.2.3 следующего содержания: </w:t>
            </w:r>
          </w:p>
          <w:p w:rsidR="000F4DC8" w:rsidRPr="000F4DC8" w:rsidRDefault="000F4DC8" w:rsidP="000F4DC8">
            <w:pPr>
              <w:widowControl w:val="0"/>
              <w:autoSpaceDE w:val="0"/>
              <w:autoSpaceDN w:val="0"/>
              <w:ind w:firstLine="709"/>
              <w:jc w:val="both"/>
              <w:rPr>
                <w:rFonts w:ascii="Calibri" w:hAnsi="Calibri" w:cs="Calibri"/>
                <w:b/>
                <w:sz w:val="22"/>
                <w:szCs w:val="20"/>
              </w:rPr>
            </w:pPr>
            <w:r w:rsidRPr="000F4DC8">
              <w:rPr>
                <w:sz w:val="28"/>
                <w:szCs w:val="28"/>
              </w:rPr>
              <w:t>«</w:t>
            </w:r>
            <w:r w:rsidRPr="000F4DC8">
              <w:rPr>
                <w:color w:val="000000"/>
                <w:sz w:val="28"/>
                <w:szCs w:val="28"/>
              </w:rPr>
              <w:t>2.2.3. Запрашивать у Получателя информацию, документы и материалы, касающиеся предмета Соглашения</w:t>
            </w:r>
            <w:proofErr w:type="gramStart"/>
            <w:r w:rsidRPr="000F4DC8">
              <w:rPr>
                <w:color w:val="000000"/>
                <w:sz w:val="28"/>
                <w:szCs w:val="28"/>
              </w:rPr>
              <w:t>.</w:t>
            </w:r>
            <w:r w:rsidRPr="000F4DC8">
              <w:rPr>
                <w:sz w:val="28"/>
                <w:szCs w:val="28"/>
              </w:rPr>
              <w:t>»;</w:t>
            </w:r>
            <w:proofErr w:type="gramEnd"/>
          </w:p>
          <w:p w:rsidR="000F4DC8" w:rsidRPr="000F4DC8" w:rsidRDefault="000F4DC8" w:rsidP="000F4DC8">
            <w:pPr>
              <w:widowControl w:val="0"/>
              <w:autoSpaceDE w:val="0"/>
              <w:autoSpaceDN w:val="0"/>
              <w:ind w:firstLine="709"/>
              <w:jc w:val="both"/>
              <w:rPr>
                <w:sz w:val="28"/>
                <w:szCs w:val="28"/>
              </w:rPr>
            </w:pPr>
            <w:r w:rsidRPr="000F4DC8">
              <w:rPr>
                <w:sz w:val="28"/>
                <w:szCs w:val="28"/>
              </w:rPr>
              <w:t>- пунктом 2.3.5 следующего содержания:</w:t>
            </w:r>
          </w:p>
          <w:p w:rsidR="000F4DC8" w:rsidRPr="000F4DC8" w:rsidRDefault="000F4DC8" w:rsidP="000F4DC8">
            <w:pPr>
              <w:widowControl w:val="0"/>
              <w:autoSpaceDE w:val="0"/>
              <w:autoSpaceDN w:val="0"/>
              <w:ind w:firstLine="709"/>
              <w:jc w:val="both"/>
              <w:rPr>
                <w:sz w:val="28"/>
                <w:szCs w:val="28"/>
              </w:rPr>
            </w:pPr>
            <w:r w:rsidRPr="000F4DC8">
              <w:rPr>
                <w:sz w:val="28"/>
                <w:szCs w:val="28"/>
              </w:rPr>
              <w:t xml:space="preserve"> «2.3.5. </w:t>
            </w:r>
            <w:r w:rsidRPr="000F4DC8">
              <w:rPr>
                <w:color w:val="000000"/>
                <w:sz w:val="28"/>
                <w:szCs w:val="28"/>
              </w:rPr>
              <w:t>Обеспечить доступ к информации и документам сотрудникам Администрации и органами финансового контроля администрации городского округа Верхняя Пышма с целью проведения проверок соблюдения Получателем условий, целей и порядка предоставления субсидии</w:t>
            </w:r>
            <w:proofErr w:type="gramStart"/>
            <w:r w:rsidRPr="000F4DC8">
              <w:rPr>
                <w:color w:val="000000"/>
                <w:sz w:val="28"/>
                <w:szCs w:val="28"/>
              </w:rPr>
              <w:t>.</w:t>
            </w:r>
            <w:r w:rsidRPr="000F4DC8">
              <w:rPr>
                <w:sz w:val="28"/>
                <w:szCs w:val="28"/>
              </w:rPr>
              <w:t>».</w:t>
            </w:r>
            <w:proofErr w:type="gramEnd"/>
          </w:p>
          <w:p w:rsidR="000F4DC8" w:rsidRPr="000F4DC8" w:rsidRDefault="000F4DC8" w:rsidP="000F4DC8">
            <w:pPr>
              <w:tabs>
                <w:tab w:val="right" w:pos="9639"/>
              </w:tabs>
              <w:ind w:right="139" w:firstLine="709"/>
              <w:jc w:val="both"/>
              <w:rPr>
                <w:sz w:val="28"/>
                <w:szCs w:val="28"/>
              </w:rPr>
            </w:pPr>
            <w:r w:rsidRPr="000F4DC8">
              <w:rPr>
                <w:sz w:val="28"/>
                <w:szCs w:val="28"/>
              </w:rPr>
              <w:t>2. Опубликовать настоящее постановление на официальном интерне</w:t>
            </w:r>
            <w:proofErr w:type="gramStart"/>
            <w:r w:rsidRPr="000F4DC8">
              <w:rPr>
                <w:sz w:val="28"/>
                <w:szCs w:val="28"/>
              </w:rPr>
              <w:t>т-</w:t>
            </w:r>
            <w:proofErr w:type="gramEnd"/>
            <w:r w:rsidRPr="000F4DC8">
              <w:rPr>
                <w:sz w:val="28"/>
                <w:szCs w:val="28"/>
              </w:rPr>
              <w:t xml:space="preserve"> портале правовой информации городского округа Верхняя Пышма (www.верхняяпышма-право.рф) и разместить на официальном сайте городского округа Верхняя Пышма (</w:t>
            </w:r>
            <w:r w:rsidRPr="000F4DC8">
              <w:rPr>
                <w:sz w:val="28"/>
                <w:szCs w:val="28"/>
                <w:lang w:val="en-US"/>
              </w:rPr>
              <w:t>movp</w:t>
            </w:r>
            <w:r w:rsidRPr="000F4DC8">
              <w:rPr>
                <w:sz w:val="28"/>
                <w:szCs w:val="28"/>
              </w:rPr>
              <w:t>.</w:t>
            </w:r>
            <w:proofErr w:type="spellStart"/>
            <w:r w:rsidRPr="000F4DC8">
              <w:rPr>
                <w:sz w:val="28"/>
                <w:szCs w:val="28"/>
                <w:lang w:val="en-US"/>
              </w:rPr>
              <w:t>ru</w:t>
            </w:r>
            <w:proofErr w:type="spellEnd"/>
            <w:r w:rsidRPr="000F4DC8">
              <w:rPr>
                <w:sz w:val="28"/>
                <w:szCs w:val="28"/>
              </w:rPr>
              <w:t>).</w:t>
            </w:r>
          </w:p>
          <w:p w:rsidR="000F4DC8" w:rsidRPr="000F4DC8" w:rsidRDefault="000F4DC8" w:rsidP="000F4DC8">
            <w:pPr>
              <w:tabs>
                <w:tab w:val="right" w:pos="9639"/>
              </w:tabs>
              <w:ind w:right="139" w:firstLine="709"/>
              <w:jc w:val="both"/>
              <w:rPr>
                <w:sz w:val="28"/>
                <w:szCs w:val="28"/>
              </w:rPr>
            </w:pPr>
            <w:r w:rsidRPr="000F4DC8">
              <w:rPr>
                <w:sz w:val="28"/>
                <w:szCs w:val="28"/>
              </w:rPr>
              <w:t xml:space="preserve">3. </w:t>
            </w:r>
            <w:proofErr w:type="gramStart"/>
            <w:r w:rsidRPr="000F4DC8">
              <w:rPr>
                <w:sz w:val="28"/>
                <w:szCs w:val="28"/>
              </w:rPr>
              <w:t>Контроль за</w:t>
            </w:r>
            <w:proofErr w:type="gramEnd"/>
            <w:r w:rsidRPr="000F4DC8">
              <w:rPr>
                <w:sz w:val="28"/>
                <w:szCs w:val="28"/>
              </w:rPr>
              <w:t xml:space="preserve"> выполнением настоящего постановления оставляю за собой.</w:t>
            </w:r>
          </w:p>
          <w:p w:rsidR="000F4DC8" w:rsidRPr="000F4DC8" w:rsidRDefault="000F4DC8" w:rsidP="000F4DC8">
            <w:pPr>
              <w:ind w:firstLine="709"/>
              <w:jc w:val="both"/>
              <w:rPr>
                <w:sz w:val="28"/>
                <w:szCs w:val="28"/>
              </w:rPr>
            </w:pPr>
          </w:p>
          <w:p w:rsidR="000F4DC8" w:rsidRPr="000F4DC8" w:rsidRDefault="000F4DC8" w:rsidP="000F4DC8">
            <w:pPr>
              <w:jc w:val="right"/>
              <w:rPr>
                <w:sz w:val="28"/>
                <w:szCs w:val="28"/>
              </w:rPr>
            </w:pPr>
          </w:p>
        </w:tc>
      </w:tr>
      <w:tr w:rsidR="000F4DC8" w:rsidRPr="000F4DC8" w:rsidTr="00B45C37">
        <w:trPr>
          <w:trHeight w:val="630"/>
        </w:trPr>
        <w:tc>
          <w:tcPr>
            <w:tcW w:w="6273" w:type="dxa"/>
            <w:vAlign w:val="bottom"/>
          </w:tcPr>
          <w:p w:rsidR="000F4DC8" w:rsidRPr="000F4DC8" w:rsidRDefault="000F4DC8" w:rsidP="000F4DC8">
            <w:pPr>
              <w:ind w:firstLine="709"/>
              <w:rPr>
                <w:sz w:val="28"/>
                <w:szCs w:val="28"/>
              </w:rPr>
            </w:pPr>
          </w:p>
          <w:p w:rsidR="000F4DC8" w:rsidRPr="000F4DC8" w:rsidRDefault="000F4DC8" w:rsidP="000F4DC8">
            <w:pPr>
              <w:ind w:right="2587"/>
              <w:rPr>
                <w:sz w:val="28"/>
                <w:szCs w:val="28"/>
              </w:rPr>
            </w:pPr>
            <w:proofErr w:type="gramStart"/>
            <w:r w:rsidRPr="000F4DC8">
              <w:rPr>
                <w:sz w:val="28"/>
                <w:szCs w:val="28"/>
              </w:rPr>
              <w:t>Исполняющий</w:t>
            </w:r>
            <w:proofErr w:type="gramEnd"/>
            <w:r w:rsidRPr="000F4DC8">
              <w:rPr>
                <w:sz w:val="28"/>
                <w:szCs w:val="28"/>
              </w:rPr>
              <w:t xml:space="preserve"> полномочия главы администрации</w:t>
            </w:r>
          </w:p>
        </w:tc>
        <w:tc>
          <w:tcPr>
            <w:tcW w:w="3364" w:type="dxa"/>
            <w:vAlign w:val="bottom"/>
          </w:tcPr>
          <w:p w:rsidR="000F4DC8" w:rsidRPr="000F4DC8" w:rsidRDefault="000F4DC8" w:rsidP="000F4DC8">
            <w:pPr>
              <w:jc w:val="right"/>
              <w:rPr>
                <w:sz w:val="28"/>
                <w:szCs w:val="28"/>
              </w:rPr>
            </w:pPr>
            <w:proofErr w:type="spellStart"/>
            <w:r w:rsidRPr="000F4DC8">
              <w:rPr>
                <w:sz w:val="28"/>
                <w:szCs w:val="28"/>
              </w:rPr>
              <w:t>В.Н.Николишин</w:t>
            </w:r>
            <w:proofErr w:type="spellEnd"/>
          </w:p>
        </w:tc>
      </w:tr>
    </w:tbl>
    <w:p w:rsidR="000F4DC8" w:rsidRPr="000F4DC8" w:rsidRDefault="000F4DC8" w:rsidP="000F4DC8">
      <w:pPr>
        <w:snapToGrid w:val="0"/>
        <w:rPr>
          <w:rFonts w:ascii="Arial" w:hAnsi="Arial"/>
          <w:sz w:val="20"/>
          <w:szCs w:val="20"/>
        </w:rPr>
      </w:pPr>
    </w:p>
    <w:p w:rsidR="00562620" w:rsidRPr="000F4DC8" w:rsidRDefault="00562620" w:rsidP="000F4DC8"/>
    <w:sectPr w:rsidR="00562620" w:rsidRPr="000F4DC8"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CB" w:rsidRDefault="007D18CB">
      <w:r>
        <w:separator/>
      </w:r>
    </w:p>
  </w:endnote>
  <w:endnote w:type="continuationSeparator" w:id="0">
    <w:p w:rsidR="007D18CB" w:rsidRDefault="007D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CB" w:rsidRDefault="007D18CB">
      <w:r>
        <w:separator/>
      </w:r>
    </w:p>
  </w:footnote>
  <w:footnote w:type="continuationSeparator" w:id="0">
    <w:p w:rsidR="007D18CB" w:rsidRDefault="007D1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209684475" w:edGrp="everyone"/>
  <w:p w:rsidR="00AF0248" w:rsidRDefault="005A5CD6">
    <w:pPr>
      <w:pStyle w:val="a3"/>
      <w:jc w:val="center"/>
    </w:pPr>
    <w:r>
      <w:fldChar w:fldCharType="begin"/>
    </w:r>
    <w:r>
      <w:instrText xml:space="preserve"> PAGE   \* MERGEFORMAT </w:instrText>
    </w:r>
    <w:r>
      <w:fldChar w:fldCharType="separate"/>
    </w:r>
    <w:r w:rsidR="00442229">
      <w:rPr>
        <w:noProof/>
      </w:rPr>
      <w:t>2</w:t>
    </w:r>
    <w:r>
      <w:fldChar w:fldCharType="end"/>
    </w:r>
  </w:p>
  <w:permEnd w:id="1209684475"/>
  <w:p w:rsidR="00810AAA" w:rsidRPr="00810AAA" w:rsidRDefault="007D18C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7D18CB"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8D4740A"/>
    <w:multiLevelType w:val="hybridMultilevel"/>
    <w:tmpl w:val="2E024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4">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115922"/>
    <w:multiLevelType w:val="hybridMultilevel"/>
    <w:tmpl w:val="CE46E4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1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0F4DC8"/>
    <w:rsid w:val="0010179D"/>
    <w:rsid w:val="001025A8"/>
    <w:rsid w:val="0010741E"/>
    <w:rsid w:val="00107CF2"/>
    <w:rsid w:val="0018575D"/>
    <w:rsid w:val="001A4209"/>
    <w:rsid w:val="002722D4"/>
    <w:rsid w:val="00283C0B"/>
    <w:rsid w:val="002C56C8"/>
    <w:rsid w:val="002F5415"/>
    <w:rsid w:val="00332B79"/>
    <w:rsid w:val="00335547"/>
    <w:rsid w:val="00363720"/>
    <w:rsid w:val="00377321"/>
    <w:rsid w:val="003B5ED7"/>
    <w:rsid w:val="003E4C61"/>
    <w:rsid w:val="0043092F"/>
    <w:rsid w:val="00442229"/>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D18CB"/>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AD2DFF"/>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2017-04-10T11:57:00Z</cp:lastPrinted>
  <dcterms:created xsi:type="dcterms:W3CDTF">2017-08-18T04:03:00Z</dcterms:created>
  <dcterms:modified xsi:type="dcterms:W3CDTF">2018-01-11T08:48:00Z</dcterms:modified>
</cp:coreProperties>
</file>