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FE" w:rsidRPr="00676222" w:rsidRDefault="002D2CFE" w:rsidP="002D2CFE">
      <w:pPr>
        <w:ind w:left="5103"/>
        <w:rPr>
          <w:rFonts w:ascii="Liberation Serif" w:hAnsi="Liberation Serif"/>
          <w:sz w:val="28"/>
        </w:rPr>
      </w:pPr>
      <w:r w:rsidRPr="00676222">
        <w:rPr>
          <w:rFonts w:ascii="Liberation Serif" w:hAnsi="Liberation Serif"/>
          <w:sz w:val="28"/>
        </w:rPr>
        <w:t>К постановлению администрации</w:t>
      </w:r>
    </w:p>
    <w:p w:rsidR="002D2CFE" w:rsidRPr="00676222" w:rsidRDefault="002D2CFE" w:rsidP="002D2CFE">
      <w:pPr>
        <w:ind w:left="5103"/>
        <w:rPr>
          <w:rFonts w:ascii="Liberation Serif" w:hAnsi="Liberation Serif"/>
          <w:sz w:val="28"/>
        </w:rPr>
      </w:pPr>
      <w:r w:rsidRPr="00676222">
        <w:rPr>
          <w:rFonts w:ascii="Liberation Serif" w:hAnsi="Liberation Serif"/>
          <w:sz w:val="28"/>
        </w:rPr>
        <w:t>городского округа Верхняя Пышма</w:t>
      </w:r>
    </w:p>
    <w:p w:rsidR="002D2CFE" w:rsidRPr="00676222" w:rsidRDefault="002D2CFE" w:rsidP="002D2CFE">
      <w:pPr>
        <w:ind w:left="5103"/>
        <w:rPr>
          <w:rFonts w:ascii="Liberation Serif" w:hAnsi="Liberation Serif"/>
          <w:sz w:val="28"/>
        </w:rPr>
      </w:pPr>
      <w:r w:rsidRPr="00676222">
        <w:rPr>
          <w:rFonts w:ascii="Liberation Serif" w:hAnsi="Liberation Serif"/>
          <w:sz w:val="28"/>
        </w:rPr>
        <w:t>от __</w:t>
      </w:r>
      <w:r w:rsidR="00B334D2">
        <w:rPr>
          <w:rFonts w:ascii="Liberation Serif" w:hAnsi="Liberation Serif"/>
          <w:sz w:val="28"/>
        </w:rPr>
        <w:t>24.03.2025___ № __339</w:t>
      </w:r>
      <w:bookmarkStart w:id="0" w:name="_GoBack"/>
      <w:bookmarkEnd w:id="0"/>
      <w:r w:rsidRPr="00676222">
        <w:rPr>
          <w:rFonts w:ascii="Liberation Serif" w:hAnsi="Liberation Serif"/>
          <w:sz w:val="28"/>
        </w:rPr>
        <w:t>__</w:t>
      </w:r>
    </w:p>
    <w:p w:rsidR="002D2CFE" w:rsidRDefault="002D2CFE" w:rsidP="002D2CFE">
      <w:pPr>
        <w:ind w:left="5103"/>
        <w:rPr>
          <w:rFonts w:ascii="Liberation Serif" w:hAnsi="Liberation Serif"/>
          <w:sz w:val="32"/>
          <w:szCs w:val="28"/>
          <w:u w:val="single"/>
        </w:rPr>
      </w:pPr>
    </w:p>
    <w:p w:rsidR="00932E39" w:rsidRPr="00676222" w:rsidRDefault="00932E39" w:rsidP="002D2CFE">
      <w:pPr>
        <w:ind w:left="5103"/>
        <w:rPr>
          <w:rFonts w:ascii="Liberation Serif" w:hAnsi="Liberation Serif"/>
          <w:sz w:val="32"/>
          <w:szCs w:val="28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105"/>
        <w:gridCol w:w="6511"/>
      </w:tblGrid>
      <w:tr w:rsidR="00C94766" w:rsidRPr="00DE0E0C" w:rsidTr="00932E39">
        <w:trPr>
          <w:trHeight w:val="1202"/>
        </w:trPr>
        <w:tc>
          <w:tcPr>
            <w:tcW w:w="150" w:type="pct"/>
          </w:tcPr>
          <w:p w:rsidR="00C94766" w:rsidRPr="00DE0E0C" w:rsidRDefault="00C94766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7"/>
              <w:rPr>
                <w:rStyle w:val="CharacterStyle7"/>
                <w:rFonts w:ascii="Liberation Serif" w:eastAsia="Calibri" w:hAnsi="Liberation Serif"/>
              </w:rPr>
            </w:pPr>
            <w:r w:rsidRPr="00DE0E0C">
              <w:rPr>
                <w:rStyle w:val="CharacterStyle7"/>
                <w:rFonts w:ascii="Liberation Serif" w:eastAsia="Calibri" w:hAnsi="Liberation Serif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284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8"/>
              <w:rPr>
                <w:rStyle w:val="CharacterStyle8"/>
                <w:rFonts w:ascii="Liberation Serif" w:eastAsia="Calibri" w:hAnsi="Liberation Serif"/>
              </w:rPr>
            </w:pPr>
            <w:r w:rsidRPr="00DE0E0C">
              <w:rPr>
                <w:rStyle w:val="CharacterStyle8"/>
                <w:rFonts w:ascii="Liberation Serif" w:eastAsia="Calibri" w:hAnsi="Liberation Serif"/>
              </w:rPr>
              <w:t>1. 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  <w:r w:rsidR="00932E39">
              <w:rPr>
                <w:rStyle w:val="CharacterStyle8"/>
                <w:rFonts w:ascii="Liberation Serif" w:eastAsia="Calibri" w:hAnsi="Liberation Serif"/>
              </w:rPr>
              <w:t>.</w:t>
            </w:r>
          </w:p>
        </w:tc>
      </w:tr>
      <w:tr w:rsidR="00C94766" w:rsidRPr="00DE0E0C" w:rsidTr="00932E39">
        <w:trPr>
          <w:trHeight w:val="2836"/>
        </w:trPr>
        <w:tc>
          <w:tcPr>
            <w:tcW w:w="150" w:type="pct"/>
          </w:tcPr>
          <w:p w:rsidR="00C94766" w:rsidRPr="00DE0E0C" w:rsidRDefault="00C94766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C94766">
            <w:pPr>
              <w:pStyle w:val="ParagraphStyle10"/>
              <w:ind w:right="3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2. 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3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3. Доля работников, прошедших курсы по обеспечению комплексной безопасности и совершенствования деятельности образовательных учреждений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9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4. Количество созданных центров «Точка роста» на базе общеобразовательных учреждений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85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6. 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83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7. 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97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8. 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36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9. 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9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10. Количество автобусов, приобретённых для обеспечения подвоза обучающихся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4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11.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12.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9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13. 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8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14. 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7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15. Уровень освоения обучающимися основной общеобразовательной программы начального общего образования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2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16. Уровень освоения обучающимися основной общеобразовательной программы основного общего образования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0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17. Уровень освоения обучающимися основной общеобразовательной программы среднего общего образования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85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18. 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5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19. 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20.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83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21.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2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22.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B22BB2" w:rsidRPr="00DE0E0C" w:rsidTr="00932E39">
        <w:trPr>
          <w:trHeight w:val="1448"/>
        </w:trPr>
        <w:tc>
          <w:tcPr>
            <w:tcW w:w="150" w:type="pct"/>
            <w:vMerge w:val="restart"/>
          </w:tcPr>
          <w:p w:rsidR="00B22BB2" w:rsidRPr="00DE0E0C" w:rsidRDefault="00B22BB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2BB2" w:rsidRPr="00DE0E0C" w:rsidRDefault="00B22BB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22BB2" w:rsidRPr="00DE0E0C" w:rsidRDefault="00B22BB2" w:rsidP="00B22BB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00EED">
              <w:rPr>
                <w:rStyle w:val="CharacterStyle10"/>
                <w:rFonts w:ascii="Liberation Serif" w:eastAsia="Calibri" w:hAnsi="Liberation Serif"/>
              </w:rPr>
              <w:t>23. Количество граждан, осваивающих дополнительные предпрофессиональные и общеразвивающие программы в сфере искусств, которым предоставлена мера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 xml:space="preserve"> социальной поддержки отдельных.</w:t>
            </w:r>
          </w:p>
        </w:tc>
      </w:tr>
      <w:tr w:rsidR="00B22BB2" w:rsidRPr="00DE0E0C" w:rsidTr="00932E39">
        <w:trPr>
          <w:trHeight w:val="430"/>
        </w:trPr>
        <w:tc>
          <w:tcPr>
            <w:tcW w:w="150" w:type="pct"/>
            <w:vMerge/>
          </w:tcPr>
          <w:p w:rsidR="00B22BB2" w:rsidRPr="00DE0E0C" w:rsidRDefault="00B22BB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2BB2" w:rsidRPr="00DE0E0C" w:rsidRDefault="00B22BB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22BB2" w:rsidRPr="00B00EED" w:rsidRDefault="00B22BB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00EED">
              <w:rPr>
                <w:rStyle w:val="CharacterStyle10"/>
                <w:rFonts w:ascii="Liberation Serif" w:eastAsia="Calibri" w:hAnsi="Liberation Serif"/>
              </w:rPr>
              <w:t>категорий граждан, осваивающих дополнительные предпрофессиональные и общеразвивающие программы в сфере искусств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42"/>
        </w:trPr>
        <w:tc>
          <w:tcPr>
            <w:tcW w:w="150" w:type="pct"/>
            <w:tcBorders>
              <w:right w:val="single" w:sz="4" w:space="0" w:color="auto"/>
            </w:tcBorders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4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40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2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0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26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5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27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общеобразовательных учреждений улучшивших материально 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9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28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2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29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дошкольных учреждений,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30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дополнительного образования,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4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31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8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32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0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1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4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государственных профессиональных образовательных организаций дополнительного образования (детских школ искусств) оснащенных музыкальными инструментами, оборудованием и учебными материалами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6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2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образовательных учреждений, которые оснащены приборами учета энергоресурсов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7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7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3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8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5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39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40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40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 xml:space="preserve">. Количество муниципальных общеобразовательных учреждений,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 xml:space="preserve">расположенных 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в сельской местности, в которых  созданы  условия для занятия  физической культурой и спортом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41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40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42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проведённых общегородских мероприятий в сфере образования для педагогических работников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0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1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44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8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Охват бесплатным горячим питанием обучающихся из числа льготныхкатегорий граждан, получающих основное и среднее общее образование вмуниципальных образовательных организациях (в соответствии со статьей 22 Закона Свер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дловской области от 15.07.2013 №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 78-ОЗ</w:t>
            </w:r>
            <w:r w:rsidR="00676222"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«Об образовании в Свердловской области»)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3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школьных столовых, в которых произведена замена технологического оборудования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3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7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школьных столовых, в которых заменена обеденная мебель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48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школьных столовых, в которых произведена замена системы вентиляции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0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4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 школьных столовых, в которых заменен кухонный инвентарь, столовая посуда, столовые приборы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44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67622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50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Охват обучающихся льготных категорий (в</w:t>
            </w:r>
            <w:r w:rsidR="00676222">
              <w:t> 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соответствии со статьей 22 Закона Свердловской области от 15.07.2013 N 78-ОЗ</w:t>
            </w:r>
            <w:r w:rsidR="00676222"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«Об образовании в Свердловской области») бесплатными новогодними подарками от общего количества обучающихся льготных категорий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3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1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83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2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9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созданных арт – объектов, патриотической направленности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54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6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2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56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мероприятий по патриотическому воспитанию граждан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7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7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действующих на территории городского округа Верхняя Пышма патриотических молодежных объединений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25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58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5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Увеличение числа посетителей Модельной библиотеки для детей и молодежи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45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60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посещений муниципальных библиотек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1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1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музейных предметов, основного музейного фонда учреждения, опубликованных на экспозициях и выставках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1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2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Соотношение средней заработной платы муниципальных учреждений культуры и средней заработной платы в субъекте Российской Федерации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C9476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. Количество зрителей кинотеатра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Киноград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4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клубных формирований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7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65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размещенных материалов туристической направленности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66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учреждений, получивших субсидию на модернизацию библиотек в части комплектования книжных фондов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0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67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культуры,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8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проведенных мероприятий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43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C9476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6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. Увеличение количества выставок в МБУК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Верхнепышминский исторический музей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учреждений культуры, готовых к отопительному сезону (юридических лиц)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7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1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музейных предметов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C94766" w:rsidRPr="00DE0E0C" w:rsidTr="00932E39">
        <w:trPr>
          <w:trHeight w:val="946"/>
        </w:trPr>
        <w:tc>
          <w:tcPr>
            <w:tcW w:w="150" w:type="pct"/>
          </w:tcPr>
          <w:p w:rsidR="00C94766" w:rsidRPr="00DE0E0C" w:rsidRDefault="00C94766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C9476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72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человек, получивших государственную поддержку лучшим работникам сельских учреждений культуры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</w:tbl>
    <w:p w:rsidR="00932E39" w:rsidRDefault="00932E39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105"/>
        <w:gridCol w:w="6511"/>
      </w:tblGrid>
      <w:tr w:rsidR="00C94766" w:rsidRPr="00DE0E0C" w:rsidTr="00932E39">
        <w:trPr>
          <w:trHeight w:val="1077"/>
        </w:trPr>
        <w:tc>
          <w:tcPr>
            <w:tcW w:w="150" w:type="pct"/>
          </w:tcPr>
          <w:p w:rsidR="00C94766" w:rsidRPr="00DE0E0C" w:rsidRDefault="00C94766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C94766" w:rsidRPr="00DE0E0C" w:rsidRDefault="00C94766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коллективов, получивших государственную поддержку муниципальным учреждениям культуры на поддержку любительских творческих коллективов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74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3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75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детей в городском округе Верхняя Пышма, охваченных детско-юношеским туризмом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8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76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DE0E0C" w:rsidRPr="00DE0E0C" w:rsidTr="00932E39">
        <w:trPr>
          <w:trHeight w:val="1770"/>
        </w:trPr>
        <w:tc>
          <w:tcPr>
            <w:tcW w:w="150" w:type="pct"/>
            <w:vMerge w:val="restart"/>
          </w:tcPr>
          <w:p w:rsidR="00DE0E0C" w:rsidRPr="00DE0E0C" w:rsidRDefault="00DE0E0C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0E0C" w:rsidRPr="00DE0E0C" w:rsidRDefault="00DE0E0C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DE0E0C" w:rsidRPr="00DE0E0C" w:rsidRDefault="00B00EED" w:rsidP="00DE0E0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77</w:t>
            </w:r>
            <w:r w:rsidR="00DE0E0C" w:rsidRPr="00DE0E0C">
              <w:rPr>
                <w:rStyle w:val="CharacterStyle10"/>
                <w:rFonts w:ascii="Liberation Serif" w:eastAsia="Calibri" w:hAnsi="Liberation Serif"/>
              </w:rPr>
              <w:t xml:space="preserve">. 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</w:p>
        </w:tc>
      </w:tr>
      <w:tr w:rsidR="00DE0E0C" w:rsidRPr="00DE0E0C" w:rsidTr="00932E39">
        <w:trPr>
          <w:trHeight w:val="364"/>
        </w:trPr>
        <w:tc>
          <w:tcPr>
            <w:tcW w:w="150" w:type="pct"/>
            <w:vMerge/>
          </w:tcPr>
          <w:p w:rsidR="00DE0E0C" w:rsidRPr="00DE0E0C" w:rsidRDefault="00DE0E0C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0E0C" w:rsidRPr="00DE0E0C" w:rsidRDefault="00DE0E0C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DE0E0C" w:rsidRPr="00DE0E0C" w:rsidRDefault="00DE0E0C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безбарьерной среды для детей всех групп здоровья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7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78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спортивных площадок, оснащенных специализированным оборудованием для занятий уличной гимнастикой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4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79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в сфере физической культуры и спорта,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0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932E39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80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спортивно-массовых и физкультурно-оздоровительных мероприятий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1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1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Уровень обеспеченности населения спортивными сооружениями, исходя из единовременной пропускной способности объектов спорта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4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2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Ввод в эксплуатацию спортивной инфраструктуры муниципальной собственности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45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объектов, в которых проведены мероприятия по энергосбережению и повышению энергетической эффективности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763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B00EED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84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объектов спортивной инфраструктуры, приведенных в нормативное состояние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5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1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7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23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8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58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00EE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8</w:t>
            </w:r>
            <w:r w:rsidR="00B00EED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73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9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0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физической культуры и спорта, в которых проведены мероприятия по обеспечению деятельности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9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91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присвоенных спортивных разрядов и квалификационных категорий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02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92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5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93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лиц, занимающихся по программам спортивной подготовки в муниципальных учреждениях физической культуры и спорта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94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7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9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27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9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8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97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69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C9476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98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 xml:space="preserve">. Доля населения городского округа Верхняя Пышма, выполнившего нормативы испытаний (тестов) ВФСК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Готов к труду и обороне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Готов к труду и обороне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 xml:space="preserve"> (ГТО)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88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C9476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9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. Доля учащихся и студентов городского округа Верхняя Пышма, выполнившего нормативы испытаний (тестов) ВФСК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Готов к труду и обороне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Готов к труду и обороне</w:t>
            </w:r>
            <w:r w:rsidR="00C94766">
              <w:rPr>
                <w:rStyle w:val="CharacterStyle10"/>
                <w:rFonts w:ascii="Liberation Serif" w:eastAsia="Calibri" w:hAnsi="Liberation Serif"/>
              </w:rPr>
              <w:t>»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 (ГТО)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100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3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1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27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2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действующих на территории городского округа Верхняя Пышма органов молодежного самоуправления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3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мероприятий по работе с молодежью в городском округе Верхняя Пышма</w:t>
            </w:r>
          </w:p>
        </w:tc>
      </w:tr>
      <w:tr w:rsidR="00A158A2" w:rsidRPr="00DE0E0C" w:rsidTr="00932E39">
        <w:trPr>
          <w:trHeight w:val="33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4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граждан, участвующих в добровольческой (волонтерской) деятельности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07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5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. Количество поддержанных молодежных инициатив по результатам проекта </w:t>
            </w:r>
            <w:r w:rsidR="00B43368"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Банк молодежных инициатив</w:t>
            </w:r>
            <w:r w:rsidR="00B43368">
              <w:rPr>
                <w:rStyle w:val="CharacterStyle10"/>
                <w:rFonts w:ascii="Liberation Serif" w:eastAsia="Calibri" w:hAnsi="Liberation Serif"/>
              </w:rPr>
              <w:t>»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 xml:space="preserve"> в городском округе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7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действующих молодежных коворкинг-центров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41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7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31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8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568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10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9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88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110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911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111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32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112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муниципальных учреждений молодежной политики, улучшивших материально-техническую базу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25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113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1189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11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4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Количество учреждений молодежной политики, приведенных в соответствие с санитарными, пожарными и иными нормативными требованиями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84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115</w:t>
            </w:r>
            <w:r w:rsidR="00A158A2" w:rsidRPr="00DE0E0C">
              <w:rPr>
                <w:rStyle w:val="CharacterStyle10"/>
                <w:rFonts w:ascii="Liberation Serif" w:eastAsia="Calibri" w:hAnsi="Liberation Serif"/>
              </w:rPr>
              <w:t>. Количество вновь созданных объектов, муниципальных учреждений по работе с  молодежью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64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046CE0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11</w:t>
            </w:r>
            <w:r w:rsidR="00046CE0">
              <w:rPr>
                <w:rStyle w:val="CharacterStyle10"/>
                <w:rFonts w:ascii="Liberation Serif" w:eastAsia="Calibri" w:hAnsi="Liberation Serif"/>
              </w:rPr>
              <w:t>6</w:t>
            </w:r>
            <w:r w:rsidRPr="00DE0E0C">
              <w:rPr>
                <w:rStyle w:val="CharacterStyle10"/>
                <w:rFonts w:ascii="Liberation Serif" w:eastAsia="Calibri" w:hAnsi="Liberation Serif"/>
              </w:rPr>
              <w:t>. Достижение целевых показателей муниципальной программы</w:t>
            </w:r>
            <w:r w:rsidR="00932E39">
              <w:rPr>
                <w:rStyle w:val="CharacterStyle10"/>
                <w:rFonts w:ascii="Liberation Serif" w:eastAsia="Calibri" w:hAnsi="Liberation Serif"/>
              </w:rPr>
              <w:t>.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DE0E0C"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3284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2"/>
              <w:ind w:left="141"/>
              <w:rPr>
                <w:rStyle w:val="CharacterStyle2"/>
                <w:rFonts w:ascii="Liberation Serif" w:eastAsia="Calibri" w:hAnsi="Liberation Serif"/>
              </w:rPr>
            </w:pPr>
            <w:r w:rsidRPr="00DE0E0C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5163F4" w:rsidRPr="00DE0E0C" w:rsidTr="00932E39">
        <w:trPr>
          <w:trHeight w:val="186"/>
        </w:trPr>
        <w:tc>
          <w:tcPr>
            <w:tcW w:w="150" w:type="pct"/>
          </w:tcPr>
          <w:p w:rsidR="005163F4" w:rsidRPr="00DE0E0C" w:rsidRDefault="005163F4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1D37A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DE0E0C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  <w:p w:rsidR="005163F4" w:rsidRPr="00DE0E0C" w:rsidRDefault="005163F4" w:rsidP="001D37A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DE0E0C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  <w:p w:rsidR="005163F4" w:rsidRPr="00DE0E0C" w:rsidRDefault="005163F4" w:rsidP="001D37A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DE0E0C"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B43368">
            <w:pPr>
              <w:pStyle w:val="ParagraphStyle5"/>
              <w:ind w:left="141"/>
              <w:rPr>
                <w:rStyle w:val="CharacterStyle5"/>
                <w:rFonts w:ascii="Liberation Serif" w:eastAsia="Calibri" w:hAnsi="Liberation Serif"/>
              </w:rPr>
            </w:pPr>
            <w:r w:rsidRPr="00DE0E0C">
              <w:rPr>
                <w:rStyle w:val="CharacterStyle5"/>
                <w:rFonts w:ascii="Liberation Serif" w:eastAsia="Calibri" w:hAnsi="Liberation Serif"/>
              </w:rPr>
              <w:t>35 472 234,9 тыс. рублей</w:t>
            </w:r>
          </w:p>
        </w:tc>
      </w:tr>
      <w:tr w:rsidR="005163F4" w:rsidRPr="00DE0E0C" w:rsidTr="004A4D04">
        <w:trPr>
          <w:trHeight w:val="360"/>
        </w:trPr>
        <w:tc>
          <w:tcPr>
            <w:tcW w:w="150" w:type="pct"/>
          </w:tcPr>
          <w:p w:rsidR="005163F4" w:rsidRPr="00DE0E0C" w:rsidRDefault="005163F4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1D37A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3284" w:type="pct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B43368">
            <w:pPr>
              <w:pStyle w:val="ParagraphStyle5"/>
              <w:ind w:left="141"/>
              <w:rPr>
                <w:rStyle w:val="CharacterStyle5"/>
                <w:rFonts w:ascii="Liberation Serif" w:eastAsia="Calibri" w:hAnsi="Liberation Serif"/>
              </w:rPr>
            </w:pPr>
            <w:r w:rsidRPr="00DE0E0C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5163F4" w:rsidRPr="00DE0E0C" w:rsidRDefault="005163F4" w:rsidP="00B43368">
            <w:pPr>
              <w:pStyle w:val="ParagraphStyle5"/>
              <w:ind w:left="141"/>
              <w:rPr>
                <w:rStyle w:val="CharacterStyle5"/>
                <w:rFonts w:ascii="Liberation Serif" w:eastAsia="Calibri" w:hAnsi="Liberation Serif"/>
              </w:rPr>
            </w:pP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2 210 274,5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2 629 972,4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2 93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5 219,1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2022 год 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3 245 311,1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3 680 198,0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4 575 414,1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5 309 363,5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5 309 031,9 тыс. рублей, 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5"/>
                <w:rFonts w:ascii="Liberation Serif" w:eastAsia="Calibri" w:hAnsi="Liberation Serif"/>
              </w:rPr>
              <w:t xml:space="preserve"> 5 577 450,3 тыс. рублей</w:t>
            </w:r>
          </w:p>
        </w:tc>
      </w:tr>
      <w:tr w:rsidR="005163F4" w:rsidRPr="00DE0E0C" w:rsidTr="004A4D04">
        <w:trPr>
          <w:trHeight w:val="2925"/>
        </w:trPr>
        <w:tc>
          <w:tcPr>
            <w:tcW w:w="150" w:type="pct"/>
          </w:tcPr>
          <w:p w:rsidR="005163F4" w:rsidRPr="00DE0E0C" w:rsidRDefault="005163F4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1D37A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3284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163F4" w:rsidRPr="00DE0E0C" w:rsidRDefault="005163F4" w:rsidP="00B43368">
            <w:pPr>
              <w:pStyle w:val="ParagraphStyle5"/>
              <w:ind w:left="141"/>
              <w:rPr>
                <w:rStyle w:val="CharacterStyle5"/>
                <w:rFonts w:ascii="Liberation Serif" w:eastAsia="Calibri" w:hAnsi="Liberation Serif"/>
              </w:rPr>
            </w:pP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4"/>
              <w:rPr>
                <w:rStyle w:val="CharacterStyle4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5"/>
              <w:ind w:left="141"/>
              <w:rPr>
                <w:rStyle w:val="CharacterStyle5"/>
                <w:rFonts w:ascii="Liberation Serif" w:eastAsia="Calibri" w:hAnsi="Liberation Serif"/>
              </w:rPr>
            </w:pPr>
            <w:r w:rsidRPr="00DE0E0C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A158A2" w:rsidRPr="00DE0E0C" w:rsidTr="00932E39">
        <w:trPr>
          <w:trHeight w:val="234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046CE0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046CE0">
              <w:rPr>
                <w:rStyle w:val="CharacterStyle11"/>
                <w:rFonts w:ascii="Liberation Serif" w:eastAsia="Calibri" w:hAnsi="Liberation Serif"/>
              </w:rPr>
              <w:t xml:space="preserve">16 447 264,8 </w:t>
            </w:r>
            <w:r w:rsidR="00A158A2" w:rsidRPr="00DE0E0C">
              <w:rPr>
                <w:rStyle w:val="CharacterStyle11"/>
                <w:rFonts w:ascii="Liberation Serif" w:eastAsia="Calibri" w:hAnsi="Liberation Serif"/>
              </w:rPr>
              <w:t>тыс. рублей</w:t>
            </w:r>
          </w:p>
        </w:tc>
      </w:tr>
      <w:tr w:rsidR="00A158A2" w:rsidRPr="00DE0E0C" w:rsidTr="00932E39">
        <w:trPr>
          <w:trHeight w:val="15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A158A2" w:rsidRPr="00DE0E0C" w:rsidTr="00932E39">
        <w:trPr>
          <w:trHeight w:val="2626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1 067 431,2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1 227 804,4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1 270 455,4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1 480 357,9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1 635 071,8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2 003 407,5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="00046CE0" w:rsidRPr="00046CE0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2 370 841,1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2 608 211,8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2 783 683,6 тыс. рублей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A158A2" w:rsidRPr="00DE0E0C" w:rsidTr="00932E39">
        <w:trPr>
          <w:trHeight w:val="162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499 678,2 тыс. рублей</w:t>
            </w:r>
          </w:p>
        </w:tc>
      </w:tr>
      <w:tr w:rsidR="00A158A2" w:rsidRPr="00DE0E0C" w:rsidTr="00932E39">
        <w:trPr>
          <w:trHeight w:val="125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A158A2" w:rsidRPr="00DE0E0C" w:rsidTr="00932E39">
        <w:trPr>
          <w:trHeight w:val="278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B43368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5 980,0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28 432,8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73 273,9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71 923,3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150 732,3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169 335,9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 w:rsidR="00B43368"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B43368" w:rsidRPr="00DE0E0C" w:rsidTr="00932E39">
        <w:trPr>
          <w:trHeight w:val="91"/>
        </w:trPr>
        <w:tc>
          <w:tcPr>
            <w:tcW w:w="150" w:type="pct"/>
          </w:tcPr>
          <w:p w:rsidR="00B43368" w:rsidRPr="00DE0E0C" w:rsidRDefault="00B43368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eastAsia="Calibri"/>
              </w:rPr>
              <w:t xml:space="preserve">18 525 141,9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>тыс. рублей</w:t>
            </w:r>
          </w:p>
        </w:tc>
      </w:tr>
      <w:tr w:rsidR="00B43368" w:rsidRPr="00DE0E0C" w:rsidTr="00932E39">
        <w:trPr>
          <w:trHeight w:val="360"/>
        </w:trPr>
        <w:tc>
          <w:tcPr>
            <w:tcW w:w="150" w:type="pct"/>
          </w:tcPr>
          <w:p w:rsidR="00B43368" w:rsidRPr="00DE0E0C" w:rsidRDefault="00B43368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B43368" w:rsidRPr="00DE0E0C" w:rsidTr="00932E39">
        <w:trPr>
          <w:trHeight w:val="3030"/>
        </w:trPr>
        <w:tc>
          <w:tcPr>
            <w:tcW w:w="150" w:type="pct"/>
          </w:tcPr>
          <w:p w:rsidR="00B43368" w:rsidRPr="00DE0E0C" w:rsidRDefault="00B43368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43368" w:rsidRDefault="00B43368" w:rsidP="00B43368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1 136 863,3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1 373 735,2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1 591 489,7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1 764 953,2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1 973 052,9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2 421 274,3 тыс. рублей, 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DE0E0C"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046CE0">
              <w:rPr>
                <w:rStyle w:val="CharacterStyle11"/>
                <w:rFonts w:ascii="Liberation Serif" w:eastAsia="Calibri" w:hAnsi="Liberation Serif"/>
              </w:rPr>
              <w:t xml:space="preserve">2 769 186,5 </w:t>
            </w:r>
            <w:r w:rsidR="00676222">
              <w:rPr>
                <w:rStyle w:val="CharacterStyle11"/>
                <w:rFonts w:ascii="Liberation Serif" w:eastAsia="Calibri" w:hAnsi="Liberation Serif"/>
              </w:rPr>
              <w:t>тыс. рублей,</w:t>
            </w:r>
          </w:p>
          <w:p w:rsidR="00676222" w:rsidRPr="00B43368" w:rsidRDefault="00676222" w:rsidP="00676222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2026 год – 2 700 820,1 тыс. рублей, </w:t>
            </w:r>
          </w:p>
          <w:p w:rsidR="00676222" w:rsidRPr="00DE0E0C" w:rsidRDefault="00676222" w:rsidP="0067622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>2027 год – 2 793 766,7 тыс. рублей</w:t>
            </w:r>
          </w:p>
        </w:tc>
      </w:tr>
      <w:tr w:rsidR="00B43368" w:rsidRPr="00DE0E0C" w:rsidTr="00932E39">
        <w:trPr>
          <w:trHeight w:val="125"/>
        </w:trPr>
        <w:tc>
          <w:tcPr>
            <w:tcW w:w="150" w:type="pct"/>
          </w:tcPr>
          <w:p w:rsidR="00B43368" w:rsidRPr="00DE0E0C" w:rsidRDefault="00B43368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right w:val="single" w:sz="6" w:space="0" w:color="000000"/>
            </w:tcBorders>
            <w:shd w:val="clear" w:color="auto" w:fill="auto"/>
          </w:tcPr>
          <w:p w:rsidR="00B43368" w:rsidRPr="00DE0E0C" w:rsidRDefault="00B43368" w:rsidP="00B43368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A158A2" w:rsidRPr="00DE0E0C" w:rsidTr="00932E39">
        <w:trPr>
          <w:trHeight w:val="360"/>
        </w:trPr>
        <w:tc>
          <w:tcPr>
            <w:tcW w:w="150" w:type="pct"/>
          </w:tcPr>
          <w:p w:rsidR="00A158A2" w:rsidRPr="00DE0E0C" w:rsidRDefault="00A158A2" w:rsidP="001D37AA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5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Pr="00DE0E0C" w:rsidRDefault="00A158A2" w:rsidP="001D37A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284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158A2" w:rsidRDefault="00B43368" w:rsidP="00B43368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  <w:p w:rsidR="00B43368" w:rsidRDefault="00B43368" w:rsidP="00B43368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 w:rsidRPr="00DE0E0C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2019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2020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2021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2022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2023 год – 150,0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2024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2025 год – 0,0 тыс. рублей, </w:t>
            </w:r>
          </w:p>
          <w:p w:rsidR="00B43368" w:rsidRPr="00B43368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 xml:space="preserve">2026 год – 0,0 тыс. рублей, </w:t>
            </w:r>
          </w:p>
          <w:p w:rsidR="00B43368" w:rsidRPr="00DE0E0C" w:rsidRDefault="00B43368" w:rsidP="00B43368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B43368">
              <w:rPr>
                <w:rStyle w:val="CharacterStyle10"/>
                <w:rFonts w:ascii="Liberation Serif" w:eastAsia="Calibri" w:hAnsi="Liberation Serif"/>
              </w:rPr>
              <w:t>2027 год – 0,0 тыс. рублей</w:t>
            </w:r>
          </w:p>
        </w:tc>
      </w:tr>
    </w:tbl>
    <w:p w:rsidR="00676222" w:rsidRPr="00DE0E0C" w:rsidRDefault="00676222" w:rsidP="00676222">
      <w:pPr>
        <w:rPr>
          <w:rFonts w:ascii="Liberation Serif" w:hAnsi="Liberation Serif"/>
        </w:rPr>
      </w:pPr>
    </w:p>
    <w:sectPr w:rsidR="00676222" w:rsidRPr="00DE0E0C" w:rsidSect="00932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2B" w:rsidRDefault="00AC702B">
      <w:r>
        <w:separator/>
      </w:r>
    </w:p>
  </w:endnote>
  <w:endnote w:type="continuationSeparator" w:id="0">
    <w:p w:rsidR="00AC702B" w:rsidRDefault="00AC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2B" w:rsidRDefault="00AC702B">
      <w:r>
        <w:separator/>
      </w:r>
    </w:p>
  </w:footnote>
  <w:footnote w:type="continuationSeparator" w:id="0">
    <w:p w:rsidR="00AC702B" w:rsidRDefault="00AC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D2"/>
    <w:rsid w:val="00020013"/>
    <w:rsid w:val="00046CE0"/>
    <w:rsid w:val="0018116A"/>
    <w:rsid w:val="00230FAC"/>
    <w:rsid w:val="002D2CFE"/>
    <w:rsid w:val="002E5C6A"/>
    <w:rsid w:val="003B5E06"/>
    <w:rsid w:val="003F31E7"/>
    <w:rsid w:val="00403BDE"/>
    <w:rsid w:val="005163F4"/>
    <w:rsid w:val="005167EE"/>
    <w:rsid w:val="005D1A66"/>
    <w:rsid w:val="005D7F9E"/>
    <w:rsid w:val="0061418D"/>
    <w:rsid w:val="00637BBA"/>
    <w:rsid w:val="00676222"/>
    <w:rsid w:val="006904CB"/>
    <w:rsid w:val="00723C6A"/>
    <w:rsid w:val="0078568C"/>
    <w:rsid w:val="007B5FF5"/>
    <w:rsid w:val="007D35E4"/>
    <w:rsid w:val="00827156"/>
    <w:rsid w:val="008961D2"/>
    <w:rsid w:val="0090599D"/>
    <w:rsid w:val="00932E39"/>
    <w:rsid w:val="00A158A2"/>
    <w:rsid w:val="00AC702B"/>
    <w:rsid w:val="00B00EED"/>
    <w:rsid w:val="00B22BB2"/>
    <w:rsid w:val="00B27E9F"/>
    <w:rsid w:val="00B334D2"/>
    <w:rsid w:val="00B43368"/>
    <w:rsid w:val="00B53C9C"/>
    <w:rsid w:val="00C06BC9"/>
    <w:rsid w:val="00C94766"/>
    <w:rsid w:val="00CB42E0"/>
    <w:rsid w:val="00D37EFE"/>
    <w:rsid w:val="00DC40CF"/>
    <w:rsid w:val="00DE0E0C"/>
    <w:rsid w:val="00E02E62"/>
    <w:rsid w:val="00E15FBD"/>
    <w:rsid w:val="00F31FD6"/>
    <w:rsid w:val="00F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E8694"/>
  <w15:chartTrackingRefBased/>
  <w15:docId w15:val="{28E787FC-DA12-4039-B3C1-D016BF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CharacterStyle">
    <w:name w:val="FakeCharacterStyle"/>
    <w:hidden/>
    <w:rsid w:val="002D2CFE"/>
    <w:rPr>
      <w:sz w:val="1"/>
      <w:szCs w:val="1"/>
    </w:rPr>
  </w:style>
  <w:style w:type="paragraph" w:styleId="a3">
    <w:name w:val="header"/>
    <w:basedOn w:val="a"/>
    <w:link w:val="a4"/>
    <w:uiPriority w:val="99"/>
    <w:unhideWhenUsed/>
    <w:rsid w:val="00F91B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1B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10">
    <w:name w:val="ParagraphStyle10"/>
    <w:hidden/>
    <w:rsid w:val="006904C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0">
    <w:name w:val="CharacterStyle10"/>
    <w:hidden/>
    <w:rsid w:val="006904C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5">
    <w:name w:val="ParagraphStyle5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5">
    <w:name w:val="CharacterStyle5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F31FD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1">
    <w:name w:val="CharacterStyle11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4">
    <w:name w:val="ParagraphStyle4"/>
    <w:hidden/>
    <w:rsid w:val="00A158A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A158A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8">
    <w:name w:val="ParagraphStyle8"/>
    <w:hidden/>
    <w:rsid w:val="00A158A2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A158A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4">
    <w:name w:val="CharacterStyle4"/>
    <w:hidden/>
    <w:rsid w:val="00A158A2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sid w:val="00A158A2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A158A2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A158A2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932E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E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2025-03-24T06:54:00Z</cp:lastPrinted>
  <dcterms:created xsi:type="dcterms:W3CDTF">2025-03-19T09:46:00Z</dcterms:created>
  <dcterms:modified xsi:type="dcterms:W3CDTF">2025-03-24T07:04:00Z</dcterms:modified>
</cp:coreProperties>
</file>