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93"/>
        <w:gridCol w:w="1037"/>
        <w:gridCol w:w="2801"/>
        <w:gridCol w:w="1328"/>
        <w:gridCol w:w="2985"/>
        <w:gridCol w:w="5526"/>
      </w:tblGrid>
      <w:tr w:rsidR="00E6794E" w:rsidRPr="00E6794E" w:rsidTr="00E6794E">
        <w:trPr>
          <w:trHeight w:val="108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94E" w:rsidRPr="00E6794E" w:rsidRDefault="00E6794E" w:rsidP="00E6794E">
            <w:pPr>
              <w:contextualSpacing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94E" w:rsidRPr="00E6794E" w:rsidRDefault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94E" w:rsidRPr="00E6794E" w:rsidRDefault="00E6794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794E" w:rsidRPr="00E6794E" w:rsidRDefault="00E6794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94E" w:rsidRPr="00E6794E" w:rsidRDefault="00E6794E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94E" w:rsidRPr="00E6794E" w:rsidRDefault="00922B5B" w:rsidP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 постановлению А</w:t>
            </w:r>
            <w:r w:rsidR="00E6794E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</w:p>
          <w:p w:rsidR="00E6794E" w:rsidRPr="00E6794E" w:rsidRDefault="00E6794E" w:rsidP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E6794E" w:rsidRPr="00E6794E" w:rsidRDefault="00547E1B" w:rsidP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28.04.2026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 652</w:t>
            </w:r>
          </w:p>
          <w:p w:rsidR="00E6794E" w:rsidRPr="00E6794E" w:rsidRDefault="00E6794E" w:rsidP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6794E" w:rsidRPr="00E6794E" w:rsidRDefault="00E6794E" w:rsidP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1 </w:t>
            </w:r>
          </w:p>
          <w:p w:rsidR="00E6794E" w:rsidRPr="00E6794E" w:rsidRDefault="00E6794E" w:rsidP="00E679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E6794E" w:rsidRPr="00E6794E" w:rsidTr="00E6794E">
        <w:trPr>
          <w:trHeight w:val="525"/>
        </w:trPr>
        <w:tc>
          <w:tcPr>
            <w:tcW w:w="1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4E" w:rsidRPr="00E6794E" w:rsidRDefault="00E6794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E6794E" w:rsidRPr="00E6794E" w:rsidTr="00E6794E">
        <w:trPr>
          <w:trHeight w:val="255"/>
        </w:trPr>
        <w:tc>
          <w:tcPr>
            <w:tcW w:w="1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794E" w:rsidRPr="00E6794E" w:rsidRDefault="00E6794E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E6794E" w:rsidRPr="00E6794E" w:rsidTr="00E6794E">
        <w:trPr>
          <w:trHeight w:val="327"/>
        </w:trPr>
        <w:tc>
          <w:tcPr>
            <w:tcW w:w="14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94E" w:rsidRPr="00E6794E" w:rsidRDefault="00E679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</w:tbl>
    <w:p w:rsidR="00276F90" w:rsidRPr="00E6794E" w:rsidRDefault="00276F90" w:rsidP="00E6794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04"/>
        <w:gridCol w:w="1276"/>
        <w:gridCol w:w="992"/>
        <w:gridCol w:w="992"/>
        <w:gridCol w:w="992"/>
        <w:gridCol w:w="1134"/>
        <w:gridCol w:w="993"/>
        <w:gridCol w:w="3609"/>
      </w:tblGrid>
      <w:tr w:rsidR="003B1FF4" w:rsidRPr="00E6794E" w:rsidTr="003B1FF4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ind w:left="-48" w:right="-28"/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3B1FF4" w:rsidRPr="00E6794E" w:rsidTr="003B1FF4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3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E6794E" w:rsidRPr="003B1FF4" w:rsidRDefault="00E6794E">
      <w:pPr>
        <w:rPr>
          <w:rFonts w:ascii="Liberation Serif" w:hAnsi="Liberation Serif" w:cs="Liberation Serif"/>
          <w:szCs w:val="2"/>
        </w:rPr>
      </w:pPr>
    </w:p>
    <w:tbl>
      <w:tblPr>
        <w:tblW w:w="145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04"/>
        <w:gridCol w:w="1276"/>
        <w:gridCol w:w="992"/>
        <w:gridCol w:w="992"/>
        <w:gridCol w:w="992"/>
        <w:gridCol w:w="1134"/>
        <w:gridCol w:w="993"/>
        <w:gridCol w:w="3609"/>
      </w:tblGrid>
      <w:tr w:rsidR="003B1FF4" w:rsidRPr="00E6794E" w:rsidTr="00C04246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1. Развитие местного самоуправления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 w:rsidP="00922B5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Цель 1. Осуществление полномочий </w:t>
            </w:r>
            <w:r w:rsidR="00922B5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дминистрации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1.1. Решение вопросов, возложенных на органы местного самоуправления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Указ Президента РФ 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28.04.2008 №607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1.1.4.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1.1.5.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Протоколы заседаний рабочей группы по организации и проведению общественных онлайн-голосований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1.1.6.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получателей субсидии на поддержку садоводческих и/или огороднических некоммерческих товариществ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 заседания комиссии о предоставлении субсидии, распоряжение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1.1.7.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Организация и ведение учета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989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1.1.8.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1.1.9.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Отчет об исполнении бюджета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1.1.10.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Договоры на изготовление полиграфической продукции, акты выполненных работ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2. Информационное общество в городском округе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2. Обеспечение возможности получения доступной и качественной информации в городском округе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2.1. Обеспечение доступности для населения городского округа Верхняя Пышма актуальной информации о событиях в регионе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печатных страниц («Красное знамя»)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381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Тираж выпуска («Красное знамя»)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16000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печатных страниц («Муниципальный вестник»)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530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Распоряжение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Тираж выпуска («Муниципальный вестник»)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2.1.5.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Мегабайт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Целевой показатель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2.1.6.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городского округа Верхняя Пышма «Об утверждении муниципального задания МАУ «Редакция газеты «Красное знамя»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2.1.7.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полученных статистических публикаций от Управления Федеральной службы государственной статистики по Свердловской области и Курганской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Контракт об оказании информационных услуг, заключенный на текущий финансовый год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2.1.8.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полученных статистических работ от Управления Федеральной службы государственной статистики по Свердловской области и Курганской области по заказу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Контракт об оказании информационных услуг, заключенный на текущий финансовый год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2.1.9.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 w:rsidP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Распоряжение 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 городского округа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 выделении субсидии на иные цели учреждению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2.1.10.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Сбор, выверка, обработка, ввод данных в автоматизированную систему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похозяйственного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учета частных домохозяйств, расположенных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Данные ГИС ЖКХ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3. Поддержка и развитие субъектов малого и среднего предпринимательства в городском округе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3.1. Реализация гибкой системы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Число субъектов малого и среднего предпринимательства в расчете на 10 тыс.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1621,8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1650,5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1675,2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Реестр субъектов малого и среднего предпринимательства, расположенный на официальном сайте Федеральной налоговой службы;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3.12.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субъектов малого и среднего предпринимательства, воспользовавшихся мерами поддержки, от общего числа субъектов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3.1.3.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340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3.1.4.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проведенных консультаций для субъектов малого и среднего предпринимательства,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, безработных граждан и физических лиц 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330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3.2. Содействие в обеспечении занятости и </w:t>
            </w:r>
            <w:proofErr w:type="spellStart"/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населения городского округа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3.2.1.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11226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11490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11492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11493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Письмо Министерства инвестиций и развития Свердловской области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3.3. Обеспечение эффективного функционирование Центра поддержки малого предпринимательства путем оказания организации, образующей инфраструктуру поддержки субъектов малого и среднего предпринимательства на территории городского округа Верхняя Пышма, имущественной поддержки в форме муниципальной преференции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3.3.1.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субъектов малого предпринимательства, размещенных в Центре поддержки малого предпринимательства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3.3.2.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Общее количество вновь созданных рабочих мест субъектами малого предпринимательства за счет размещения в Центре поддержки малого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Соглашение о предоставлении субсидии из бюджета городского округа Верхняя Пышма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Верхнепышминскому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фонду поддержки предпринимательства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3.4. Обеспечение своевременного создания, актуализации и достоверности информации, отражающей состояние инвестиционной деятельности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3.4.1.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 соответствия структуры и содержания инвестиционного портала городского округа Верхняя Пышма требованиям Стандарта деятельности органов местного самоуправления муниципальных образований Свердловской области, направленного на улучшение инвестиционного климата (Версия 3.0), утвержденного Губернатором Свердловской области 27.11.2024 № 01-01-40/80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Стандарт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 (Версия 3.0.), утвержденный Губернатором Свердловской области 27.11.2024 № 01-01-40/80;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Приказ Министерства инвестиций и развития Свердловской области от 24.04.2025 № 60 «О рейтинге муниципальных образований, расположенных на территории Свердловской области, по уровню содействия развитию конкуренции и обеспечения условий для благоприятного инвестиционного климата»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4. Развитие архивного дела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350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сведения о предоставлении государственных (муниципальных) услуг (ф. № 1-ГМУ)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тысяча листов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Годовая статистическая форма №1 «Показатели основных направлений и результатов деятельности» архива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4.2.1.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документов муниципального архивного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 хранения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28500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31500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33000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паспорт архива по состоянию на 1 января;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4.2.2.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пункт 2,11,13,1 Правил;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825350" w:rsidRPr="00E6794E">
              <w:rPr>
                <w:rFonts w:ascii="Liberation Serif" w:hAnsi="Liberation Serif" w:cs="Liberation Serif"/>
                <w:sz w:val="24"/>
                <w:szCs w:val="24"/>
              </w:rPr>
              <w:t>Годовая статистическая форма №1 «Показатели основных направлений и результатов деятельности» архива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4.3.1.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5. Развитие градостроительной деятельности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5. Создание условий для обеспечения градостроительной деятельности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A61B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5.2.3.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населенных пунктов,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Данные 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ИСОГД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A61B5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6. Комплексное развитие сельских территорий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6.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6.1.1.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семей, нуждающихся в улучшении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281F61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281F61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6.1.2.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61B56">
              <w:rPr>
                <w:rFonts w:ascii="Liberation Serif" w:hAnsi="Liberation Serif" w:cs="Liberation Serif"/>
                <w:sz w:val="24"/>
                <w:szCs w:val="24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условий, которым предоставлены социальные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кв. метр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281F61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48,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5ABE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из бюджета субъекта Российской Федерации местному бюджету на реализацию мероприятий по улучшению жилищных условий граждан, проживающих на сельских территориях Свердловской области от 21.01.2026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75ABE">
              <w:rPr>
                <w:rFonts w:ascii="Liberation Serif" w:hAnsi="Liberation Serif" w:cs="Liberation Serif"/>
                <w:sz w:val="24"/>
                <w:szCs w:val="24"/>
              </w:rPr>
              <w:t>65732000-1-2026-005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6.1.3.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61B56">
              <w:rPr>
                <w:rFonts w:ascii="Liberation Serif" w:hAnsi="Liberation Serif" w:cs="Liberation Serif"/>
                <w:sz w:val="24"/>
                <w:szCs w:val="24"/>
              </w:rPr>
              <w:t>Количество благоустроенных сельских территорий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C675B">
              <w:rPr>
                <w:rFonts w:ascii="Liberation Serif" w:hAnsi="Liberation Serif" w:cs="Liberation Serif"/>
                <w:sz w:val="24"/>
                <w:szCs w:val="24"/>
              </w:rPr>
              <w:t>Постановление Правительства Свердловской области от 08.09.2021 № 582-ПП «Об утверждении государственной программы «Комплексное развитие сельских территорий Свердловской области»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1C675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1C675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6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1C675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7.1. Обеспечение населения сельских населенных пунктов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1C675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источников нецентрализованного водоснабжения общего пользования с качеством вод, соответствующим СанПиН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1C675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7.2.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7.2.1.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Закон Свердловской области от 21.11.2005 № 105-ОЗ «Об особо охраняемых природных территориях областного и местного значения в Свердловской области»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7.2.2.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утилизированных опасных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килограмм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Договор на утилизацию опасных отходов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7.2.3.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Данные отдела городского хозяйства и охраны окружающей среды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7.2.4.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предупреждений о неблагоприятных метеорологических условиях, полученных и размещенных на официальном сайте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Данные ФГБУ «Уральское управление по гидрометеорологии и мониторингу окружающей среды»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7.3.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7.3.1.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на гидротехнических сооружениях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7.3.2.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7.3.3.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гидротехнических сооружений, прошедших паспортизацию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7.4.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7.4.1.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куб. 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Договор на вывоз несанкционированных отходов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7.4.2.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Соглашение о предоставлении субсидии из областного бюджета бюджету муниципального образования, расположенного на территории Свердловской области от 25.04.2025 № 10-СВ-2025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8. Обеспечение безопасности жизнедеятельности населения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8.1. Развитие единой дежурно-диспетчерской службы и «Системы - 112»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Статья 11 Федерального закона от 21.12.1994 № 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Уровень оснащенности единой дежурно-диспетчерской службы и «Системы - 112» требуемым оборудованием и программными комплексами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Статья 11 Федерального закона от 21.12.1994 № 68-ФЗ «О защите населения и территорий от чрезвычайных ситуаций природного и техногенного характера»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8.2.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8.2.1.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8.3. Организация мероприятий по гражданской обороне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275AB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8.3.1.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8.4. Обеспечение первичных мер пожарной безопасности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от 2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1903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03.04.2024 №392 «О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мерах по обеспечению готовности к пожароопасному сезону на территории городского округа Верхняя Пышма»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8.4.5.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8.4.6.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извещателями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2535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30.03.2023 № 294 «О</w:t>
            </w:r>
            <w:r w:rsidR="00825350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дополнительных мерах социальной поддержки в виде обеспечения автономными пожарными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извещателями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мест проживания отдельных категорий граждан, проживающих на территории городского округа Верхняя Пышма»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8.5. Обеспечение безопасности людей на водных объектах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8.5.1.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дминистрации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8.5.2.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8.6.1.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утвержденный постановлением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дминистрации</w:t>
            </w:r>
            <w:r w:rsidR="00922B5B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округа Верхняя Пышма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от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.12.202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903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8.7. Обеспечение создания и содержания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8.7.1.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Обеспечение количественной и качественной сохранности запасов и резервов в течение всего периода хранения, постоянной готовности к их быстрой выдаче по предназначению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922B5B" w:rsidP="00922B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 от 07.06.2023 №696 «О создании и содержании в целях гражданской обороны запасов материально-технических, продовольственных, медицинских и иных средств (вместе с номенклатурой и объемами запасов)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»;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Постановление администрации городского округа </w:t>
            </w:r>
            <w:r w:rsidR="003B1FF4"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Верхняя Пышма от 17.02.2025 №169 «О резерве материальных ценностей для предупреждения и ликвидации чрезвычайных ситуаций природного и техногенного характера на территории городского округа Верхняя Пышма муниципального характера»</w:t>
            </w:r>
          </w:p>
        </w:tc>
      </w:tr>
      <w:tr w:rsidR="003B1FF4" w:rsidRPr="00E6794E" w:rsidTr="000A1A09">
        <w:trPr>
          <w:cantSplit/>
          <w:trHeight w:val="30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8.7.2.</w:t>
            </w:r>
          </w:p>
          <w:p w:rsidR="003B1FF4" w:rsidRPr="00E6794E" w:rsidRDefault="00C04246" w:rsidP="00C0424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04246">
              <w:rPr>
                <w:rFonts w:ascii="Liberation Serif" w:hAnsi="Liberation Serif" w:cs="Liberation Serif"/>
                <w:sz w:val="24"/>
                <w:szCs w:val="24"/>
              </w:rPr>
              <w:t>Наличие актуального нормативно-методического и технического документа, содержащего систему показателей, характеризующих вероятную опасность возникновения на территории техногенных и природных чрезвычайных ситуаций</w:t>
            </w:r>
            <w:r w:rsidR="000A1A09">
              <w:rPr>
                <w:rFonts w:ascii="Liberation Serif" w:hAnsi="Liberation Serif" w:cs="Liberation Serif"/>
                <w:sz w:val="24"/>
                <w:szCs w:val="24"/>
              </w:rPr>
              <w:t xml:space="preserve">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C0424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C04246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40C" w:rsidRDefault="00C04246" w:rsidP="009124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04246">
              <w:rPr>
                <w:rFonts w:ascii="Liberation Serif" w:hAnsi="Liberation Serif" w:cs="Liberation Serif"/>
                <w:sz w:val="24"/>
                <w:szCs w:val="24"/>
              </w:rPr>
              <w:t>Указ Президента Российской Федерации от 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июля </w:t>
            </w:r>
            <w:r w:rsidRPr="00C04246">
              <w:rPr>
                <w:rFonts w:ascii="Liberation Serif" w:hAnsi="Liberation Serif" w:cs="Liberation Serif"/>
                <w:sz w:val="24"/>
                <w:szCs w:val="24"/>
              </w:rPr>
              <w:t>2004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  <w:r w:rsidRPr="00C04246">
              <w:rPr>
                <w:rFonts w:ascii="Liberation Serif" w:hAnsi="Liberation Serif" w:cs="Liberation Serif"/>
                <w:sz w:val="24"/>
                <w:szCs w:val="24"/>
              </w:rPr>
              <w:t xml:space="preserve"> №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C04246">
              <w:rPr>
                <w:rFonts w:ascii="Liberation Serif" w:hAnsi="Liberation Serif" w:cs="Liberation Serif"/>
                <w:sz w:val="24"/>
                <w:szCs w:val="24"/>
              </w:rPr>
              <w:t xml:space="preserve">868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C04246">
              <w:rPr>
                <w:rFonts w:ascii="Liberation Serif" w:hAnsi="Liberation Serif" w:cs="Liberation Serif"/>
                <w:sz w:val="24"/>
                <w:szCs w:val="24"/>
              </w:rPr>
              <w:t>Вопросы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91240C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3B1FF4" w:rsidRPr="00E6794E" w:rsidRDefault="0091240C" w:rsidP="009124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t xml:space="preserve"> 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>Приказ МЧС России 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 xml:space="preserve">25.10.2004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 xml:space="preserve"> 484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>Об утверждении типового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>паспорта безопасности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>территорий субъектов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>Российской Федерации 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91240C">
              <w:rPr>
                <w:rFonts w:ascii="Liberation Serif" w:hAnsi="Liberation Serif" w:cs="Liberation Serif"/>
                <w:sz w:val="24"/>
                <w:szCs w:val="24"/>
              </w:rPr>
              <w:t>муниципальных образований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9. Профилактика правонарушений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9.1. Внедрение и развитие технических средств и систем аппаратно-программного комплекса «Безопасный город»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1317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Увеличение протяженности линии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метр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1317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9.1.3.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Увеличение количества камер видеонаблюдения в системе программно-аппаратного комплекса «Безопасный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1317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8D1B2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9.1.4.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Обеспечение бесперебойной работы аппаратно-программного комплекса «Безопасный город»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План создания (развития) аппаратно-программного комплекса «Безопасный город» городского округа Верхняя Пышма до 2030 года, утвержденный постановлением администрации городского округа Верхняя Пышма от 30.10.2023 №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1317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9.2. Содействие правоохранительным органам в охране общественного порядка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 w:rsidP="008D1B2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9.2.1.</w:t>
            </w:r>
          </w:p>
          <w:p w:rsidR="003B1FF4" w:rsidRPr="00E6794E" w:rsidRDefault="003B1FF4" w:rsidP="008D1B2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ринято участие добровольными формированиями по охране общественного порядка при проведении массовых и публичных мероприятий, проводимых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24.11.2023 № 1420 «Об</w:t>
            </w:r>
            <w:r w:rsidR="00054839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9.3. Предупреждение терроризма и экстремизма, на почве расовой и религиозной нетерпимости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1,3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9.3.4.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9.3.5.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Обеспечение проверки состояния антитеррористической защищенности мест массового пребывания людей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Комплексная программа «Профилактика терроризма и экстремизма, а также минимизация и (или) ликвидация последствий их проявлений в городском округе Верхняя Пышма», утвержденная постановлением администрации городского округа Верхняя Пышма от 05.02.2026 № 132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10. Стратегическое планирование пространственного развития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10.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10.1.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гектар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15.06.2010 № 1168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«Об утверждении рекомендаций по охране лесов от пожаров на землях городского округа»;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План противопожарного обустройства лесов на территории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Верхнепышминского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лесничества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заключений о результатах рассмотрения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Протоколы рабочих совещаний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10.3. Разработка и подготовка лесоустроительной документации в отношении земель государственного лесного фонда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10.3.1.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к совещанию по объектам похоронного назначения;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10.3.2.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разработанной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Протоколы к совещанию по объектам похоронного назначения;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10.4. Организация рационального использования, охраны и защиты городских лесов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10.4.1.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Протоколы рабочего совещания по вопросу актуализации площади городских лесов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10.4.3.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Протяженность противопожарных минерализованных полос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городского округа Верхняя Пышма от 15.06.2010 № 1168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>«Об утверждении рекомендаций по охране лесов от пожаров на землях городского округа»;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План противопожарного обустройства лесов на территории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Верхнепышминского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 городского лесничества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11. Развитие внутреннего и въездного туризма в городском округе Верхняя Пышма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11.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11.1.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0510E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Договор на изготовление и установку знаков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Договор на изготовление продукции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11.1.3.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квестов</w:t>
            </w:r>
            <w:proofErr w:type="spellEnd"/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, викторин)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Данные комитета экономики и муниципального заказа о реализации мероприятий в сфере туризма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12. Обеспечение жильем педагогических и иных работников муниципальных учреждений на территории городского округа Верхняя Пышма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12.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Задача 12.1.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12.1.1.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Реестры отдела по учету и распределению жилья, договоры краткосрочного найма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Цель 13.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Задача 13.1.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13.1.1.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социально ориентированных некоммерческих организаций, получивших поддержку в виде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Порядок предоставления субсидий из бюджета городского округа Верхняя Пышма на финансовую поддержку социально ориентированных некоммерческих организаций, на территории городского округа Верхняя Пышма,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утвержденный постановлением администрации городского округа Верхняя Пышма от 20.10.2025 №1501</w:t>
            </w:r>
          </w:p>
        </w:tc>
      </w:tr>
      <w:tr w:rsidR="003B1FF4" w:rsidRPr="00E6794E" w:rsidTr="00C0424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 w:rsidP="003B1F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Целевой показатель 13.1.2.</w:t>
            </w:r>
          </w:p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Количество проектов инициативного бюджетирования, реализованных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3B1FF4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6794E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FF4" w:rsidRPr="00E6794E" w:rsidRDefault="00054839" w:rsidP="000548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54839">
              <w:rPr>
                <w:rFonts w:ascii="Liberation Serif" w:hAnsi="Liberation Serif" w:cs="Liberation Serif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Pr="00054839">
              <w:rPr>
                <w:rFonts w:ascii="Liberation Serif" w:hAnsi="Liberation Serif" w:cs="Liberation Serif"/>
                <w:sz w:val="24"/>
                <w:szCs w:val="24"/>
              </w:rPr>
              <w:t xml:space="preserve"> Правительства Свердловской области от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54839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.12.2023</w:t>
            </w:r>
            <w:r w:rsidRPr="00054839">
              <w:rPr>
                <w:rFonts w:ascii="Liberation Serif" w:hAnsi="Liberation Serif" w:cs="Liberation Serif"/>
                <w:sz w:val="24"/>
                <w:szCs w:val="24"/>
              </w:rPr>
              <w:t xml:space="preserve"> 2023 №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54839">
              <w:rPr>
                <w:rFonts w:ascii="Liberation Serif" w:hAnsi="Liberation Serif" w:cs="Liberation Serif"/>
                <w:sz w:val="24"/>
                <w:szCs w:val="24"/>
              </w:rPr>
              <w:t>1008-ПП «Об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054839">
              <w:rPr>
                <w:rFonts w:ascii="Liberation Serif" w:hAnsi="Liberation Serif" w:cs="Liberation Serif"/>
                <w:sz w:val="24"/>
                <w:szCs w:val="24"/>
              </w:rPr>
              <w:t>утверждении Порядка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области»</w:t>
            </w:r>
          </w:p>
        </w:tc>
      </w:tr>
    </w:tbl>
    <w:p w:rsidR="00E6794E" w:rsidRPr="00E6794E" w:rsidRDefault="00E6794E" w:rsidP="00E6794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E6794E" w:rsidRPr="00E6794E" w:rsidSect="00C53AC5">
      <w:headerReference w:type="default" r:id="rId6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600" w:rsidRDefault="005D2600" w:rsidP="00E6794E">
      <w:pPr>
        <w:spacing w:after="0" w:line="240" w:lineRule="auto"/>
      </w:pPr>
      <w:r>
        <w:separator/>
      </w:r>
    </w:p>
  </w:endnote>
  <w:endnote w:type="continuationSeparator" w:id="0">
    <w:p w:rsidR="005D2600" w:rsidRDefault="005D2600" w:rsidP="00E67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600" w:rsidRDefault="005D2600" w:rsidP="00E6794E">
      <w:pPr>
        <w:spacing w:after="0" w:line="240" w:lineRule="auto"/>
      </w:pPr>
      <w:r>
        <w:separator/>
      </w:r>
    </w:p>
  </w:footnote>
  <w:footnote w:type="continuationSeparator" w:id="0">
    <w:p w:rsidR="005D2600" w:rsidRDefault="005D2600" w:rsidP="00E67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4"/>
        <w:szCs w:val="24"/>
      </w:rPr>
      <w:id w:val="-2109652464"/>
      <w:docPartObj>
        <w:docPartGallery w:val="Page Numbers (Top of Page)"/>
        <w:docPartUnique/>
      </w:docPartObj>
    </w:sdtPr>
    <w:sdtEndPr/>
    <w:sdtContent>
      <w:p w:rsidR="0091240C" w:rsidRPr="00C53AC5" w:rsidRDefault="0091240C" w:rsidP="00C53AC5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C53AC5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C53AC5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C53AC5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547E1B">
          <w:rPr>
            <w:rFonts w:ascii="Liberation Serif" w:hAnsi="Liberation Serif" w:cs="Liberation Serif"/>
            <w:noProof/>
            <w:sz w:val="24"/>
            <w:szCs w:val="24"/>
          </w:rPr>
          <w:t>29</w:t>
        </w:r>
        <w:r w:rsidRPr="00C53AC5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4E"/>
    <w:rsid w:val="000448AC"/>
    <w:rsid w:val="000510EF"/>
    <w:rsid w:val="00054839"/>
    <w:rsid w:val="00066816"/>
    <w:rsid w:val="000A1A09"/>
    <w:rsid w:val="0013165E"/>
    <w:rsid w:val="00133F18"/>
    <w:rsid w:val="001C675B"/>
    <w:rsid w:val="00270152"/>
    <w:rsid w:val="00275ABE"/>
    <w:rsid w:val="00275C3D"/>
    <w:rsid w:val="00276F90"/>
    <w:rsid w:val="00281F61"/>
    <w:rsid w:val="00290565"/>
    <w:rsid w:val="003170FC"/>
    <w:rsid w:val="003B1FF4"/>
    <w:rsid w:val="004309A2"/>
    <w:rsid w:val="00500F70"/>
    <w:rsid w:val="00525E56"/>
    <w:rsid w:val="00547E1B"/>
    <w:rsid w:val="005D2600"/>
    <w:rsid w:val="006B5C40"/>
    <w:rsid w:val="006D1746"/>
    <w:rsid w:val="007E37C8"/>
    <w:rsid w:val="00825350"/>
    <w:rsid w:val="008919DF"/>
    <w:rsid w:val="008D1B22"/>
    <w:rsid w:val="008E1D86"/>
    <w:rsid w:val="0091240C"/>
    <w:rsid w:val="00922B5B"/>
    <w:rsid w:val="009369C6"/>
    <w:rsid w:val="009A4226"/>
    <w:rsid w:val="00A117A6"/>
    <w:rsid w:val="00A61B56"/>
    <w:rsid w:val="00A9081E"/>
    <w:rsid w:val="00A93356"/>
    <w:rsid w:val="00AE51ED"/>
    <w:rsid w:val="00B00F6E"/>
    <w:rsid w:val="00B74909"/>
    <w:rsid w:val="00C04246"/>
    <w:rsid w:val="00C53AC5"/>
    <w:rsid w:val="00C92E6F"/>
    <w:rsid w:val="00D10036"/>
    <w:rsid w:val="00D70374"/>
    <w:rsid w:val="00E6794E"/>
    <w:rsid w:val="00E927AC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86AB"/>
  <w15:chartTrackingRefBased/>
  <w15:docId w15:val="{7C3991F2-92AA-4E61-8656-3B7ABBB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9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794E"/>
    <w:rPr>
      <w:color w:val="800080"/>
      <w:u w:val="single"/>
    </w:rPr>
  </w:style>
  <w:style w:type="paragraph" w:customStyle="1" w:styleId="xl65">
    <w:name w:val="xl65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679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679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679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679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679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6794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679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6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794E"/>
    <w:rPr>
      <w:rFonts w:ascii="Times New Roman" w:hAnsi="Times New Roman" w:cs="Times New Roman"/>
      <w:sz w:val="2"/>
    </w:rPr>
  </w:style>
  <w:style w:type="paragraph" w:styleId="a7">
    <w:name w:val="footer"/>
    <w:basedOn w:val="a"/>
    <w:link w:val="a8"/>
    <w:uiPriority w:val="99"/>
    <w:unhideWhenUsed/>
    <w:rsid w:val="00E67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794E"/>
    <w:rPr>
      <w:rFonts w:ascii="Times New Roman" w:hAnsi="Times New Roman" w:cs="Times New Roman"/>
      <w:sz w:val="2"/>
    </w:rPr>
  </w:style>
  <w:style w:type="paragraph" w:styleId="a9">
    <w:name w:val="Balloon Text"/>
    <w:basedOn w:val="a"/>
    <w:link w:val="aa"/>
    <w:uiPriority w:val="99"/>
    <w:semiHidden/>
    <w:unhideWhenUsed/>
    <w:rsid w:val="008E1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1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5855</Words>
  <Characters>33375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11</cp:revision>
  <cp:lastPrinted>2026-04-28T06:37:00Z</cp:lastPrinted>
  <dcterms:created xsi:type="dcterms:W3CDTF">2026-04-17T06:51:00Z</dcterms:created>
  <dcterms:modified xsi:type="dcterms:W3CDTF">2026-04-28T06:37:00Z</dcterms:modified>
</cp:coreProperties>
</file>