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44" w:rsidRPr="007F0344" w:rsidRDefault="007F0344" w:rsidP="007F0344">
      <w:pPr>
        <w:autoSpaceDE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7F0344" w:rsidRPr="007F0344" w:rsidRDefault="007F0344" w:rsidP="007F0344">
      <w:pPr>
        <w:autoSpaceDE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7C3170" w:rsidRDefault="007C3170" w:rsidP="00E90416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266B0D" w:rsidRDefault="007C3170" w:rsidP="007C3170">
      <w:pPr>
        <w:suppressAutoHyphens w:val="0"/>
        <w:autoSpaceDE w:val="0"/>
        <w:adjustRightInd w:val="0"/>
        <w:spacing w:after="0" w:line="240" w:lineRule="auto"/>
        <w:ind w:left="6237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0014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УТВЕРЖДЕН Решением Думы </w:t>
      </w:r>
      <w:r w:rsidRPr="0010014A">
        <w:rPr>
          <w:rFonts w:ascii="Liberation Serif" w:hAnsi="Liberation Serif" w:cs="Liberation Serif"/>
          <w:sz w:val="24"/>
          <w:szCs w:val="24"/>
        </w:rPr>
        <w:t xml:space="preserve">городского округа Верхняя Пышма </w:t>
      </w:r>
      <w:r w:rsidRPr="00E90416">
        <w:rPr>
          <w:rFonts w:ascii="Liberation Serif" w:hAnsi="Liberation Serif" w:cs="Liberation Serif"/>
          <w:sz w:val="24"/>
          <w:szCs w:val="24"/>
        </w:rPr>
        <w:t xml:space="preserve">от </w:t>
      </w:r>
      <w:r>
        <w:rPr>
          <w:rFonts w:ascii="Liberation Serif" w:hAnsi="Liberation Serif" w:cs="Liberation Serif"/>
          <w:sz w:val="24"/>
          <w:szCs w:val="24"/>
        </w:rPr>
        <w:t xml:space="preserve">05 марта </w:t>
      </w:r>
      <w:r w:rsidRPr="00E90416">
        <w:rPr>
          <w:rFonts w:ascii="Liberation Serif" w:hAnsi="Liberation Serif" w:cs="Liberation Serif"/>
          <w:sz w:val="24"/>
          <w:szCs w:val="24"/>
        </w:rPr>
        <w:t xml:space="preserve">2026 года </w:t>
      </w:r>
      <w:r w:rsidRPr="00054AA3">
        <w:rPr>
          <w:rFonts w:ascii="Liberation Serif" w:hAnsi="Liberation Serif" w:cs="Liberation Serif"/>
          <w:sz w:val="24"/>
          <w:szCs w:val="24"/>
        </w:rPr>
        <w:t>№ 35/</w:t>
      </w:r>
      <w:r w:rsidRPr="00266B0D">
        <w:rPr>
          <w:rFonts w:ascii="Liberation Serif" w:hAnsi="Liberation Serif" w:cs="Liberation Serif"/>
          <w:sz w:val="24"/>
          <w:szCs w:val="24"/>
        </w:rPr>
        <w:t>4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54A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ПОРЯДОК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54AA3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определения цены земельных участков, находящихся в муниципальной собственности, при заключении договоров купли-продажи таких земельных участков без проведения торгов, а также размера платы в случае заключения соглашения о перераспределении земельных участков, находящихся в частной собственности, и земельных участков, находящихся в муниципальной собственности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Глава 1. Общие положения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1. Настоящий Порядок определения цены земельных участков, находящихся в муниципальной собственности, при заключении договоров купли-продажи таких земельных участков без проведения торгов, а также размера платы в случае заключения соглашения о перераспределении земельных участков, находящихся в частной собственности, и земельных участков, находящихс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я в муниципальной собственности</w:t>
      </w: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(далее – Порядок), устанавливает: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1) правила определения цены земельных участков, находящихся в муниципальной собственности, при заключении договоров купли-продажи таких земельных участков без проведения торгов, а также размера платы в случае заключения соглашения о перераспределении земельных участков, находящихся в частной собственности и земельных участков, находящихся в муниципальной собственности;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2) порядок оплаты земельных участков при заключении договоров купли-продажи земельных участков без проведения торгов и внесения платы в случае заключения соглашений о перераспределении земельных участков, находящихся в частной собственности и земельных участков, находящихся в муниципальной собственности.</w:t>
      </w:r>
      <w:bookmarkStart w:id="0" w:name="P54"/>
      <w:bookmarkEnd w:id="0"/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2. Цена земельного участка, находящегося в муниципальной собственности, если иное не предусмотрено федеральными законами, определяется в размере его кадастровой стоимости, за исключением случаев, предусмотренных пунктами 3 – 11 </w:t>
      </w:r>
      <w:hyperlink w:anchor="P75"/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настоящего Порядка.</w:t>
      </w:r>
      <w:bookmarkStart w:id="1" w:name="P55"/>
      <w:bookmarkEnd w:id="1"/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Глава 2. Определение цены земельных участков, находящихся в муниципальной собственности, при заключении договоров купли-продажи таких земельных участков без проведения торгов</w:t>
      </w: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3. Выкупная цена земельного участка при продаже собственникам зданий, строений, сооружений, расположенных на этих земельных участках, рассчитывается в процентах от кадастровой стоимости земельного участка и определяется по следующей формуле:</w:t>
      </w:r>
    </w:p>
    <w:p w:rsidR="007C3170" w:rsidRPr="00054AA3" w:rsidRDefault="007C3170" w:rsidP="007C3170">
      <w:pPr>
        <w:pStyle w:val="ConsPlusNormal"/>
        <w:rPr>
          <w:rFonts w:ascii="Liberation Serif" w:hAnsi="Liberation Serif"/>
          <w:sz w:val="16"/>
          <w:szCs w:val="16"/>
        </w:rPr>
      </w:pPr>
    </w:p>
    <w:p w:rsidR="007C3170" w:rsidRPr="00054AA3" w:rsidRDefault="007C3170" w:rsidP="007C3170">
      <w:pPr>
        <w:pStyle w:val="ConsPlusNormal"/>
        <w:jc w:val="center"/>
        <w:rPr>
          <w:rFonts w:ascii="Liberation Serif" w:hAnsi="Liberation Serif"/>
          <w:b/>
          <w:sz w:val="24"/>
          <w:szCs w:val="24"/>
        </w:rPr>
      </w:pPr>
      <w:r w:rsidRPr="00054AA3">
        <w:rPr>
          <w:rFonts w:ascii="Liberation Serif" w:hAnsi="Liberation Serif"/>
          <w:b/>
          <w:sz w:val="24"/>
          <w:szCs w:val="24"/>
        </w:rPr>
        <w:t>ВЦ = КС x %</w:t>
      </w:r>
      <w:r w:rsidRPr="00054AA3">
        <w:rPr>
          <w:rFonts w:ascii="Liberation Serif" w:hAnsi="Liberation Serif"/>
          <w:sz w:val="24"/>
          <w:szCs w:val="24"/>
        </w:rPr>
        <w:t>, где</w:t>
      </w:r>
    </w:p>
    <w:p w:rsidR="007C3170" w:rsidRPr="00054AA3" w:rsidRDefault="007C3170" w:rsidP="007C3170">
      <w:pPr>
        <w:pStyle w:val="ConsPlusNormal"/>
        <w:rPr>
          <w:rFonts w:ascii="Liberation Serif" w:hAnsi="Liberation Serif"/>
          <w:sz w:val="16"/>
          <w:szCs w:val="16"/>
        </w:rPr>
      </w:pPr>
    </w:p>
    <w:p w:rsidR="007C3170" w:rsidRPr="00054AA3" w:rsidRDefault="007C3170" w:rsidP="007C317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054AA3">
        <w:rPr>
          <w:rFonts w:ascii="Liberation Serif" w:hAnsi="Liberation Serif"/>
          <w:b/>
          <w:sz w:val="24"/>
          <w:szCs w:val="24"/>
        </w:rPr>
        <w:t>ВЦ</w:t>
      </w:r>
      <w:r w:rsidRPr="00054AA3">
        <w:rPr>
          <w:rFonts w:ascii="Liberation Serif" w:hAnsi="Liberation Serif"/>
          <w:sz w:val="24"/>
          <w:szCs w:val="24"/>
        </w:rPr>
        <w:t xml:space="preserve"> – выкупная цена земельного участка, рублей;</w:t>
      </w:r>
    </w:p>
    <w:p w:rsidR="007C3170" w:rsidRPr="00054AA3" w:rsidRDefault="007C3170" w:rsidP="007C317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054AA3">
        <w:rPr>
          <w:rFonts w:ascii="Liberation Serif" w:hAnsi="Liberation Serif"/>
          <w:b/>
          <w:sz w:val="24"/>
          <w:szCs w:val="24"/>
        </w:rPr>
        <w:t>КС</w:t>
      </w:r>
      <w:r w:rsidRPr="00054AA3">
        <w:rPr>
          <w:rFonts w:ascii="Liberation Serif" w:hAnsi="Liberation Serif"/>
          <w:sz w:val="24"/>
          <w:szCs w:val="24"/>
        </w:rPr>
        <w:t xml:space="preserve"> – кадастровая стоимость земельного участка, рублей;</w:t>
      </w:r>
    </w:p>
    <w:p w:rsidR="007C3170" w:rsidRPr="00054AA3" w:rsidRDefault="007C3170" w:rsidP="007C3170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054AA3">
        <w:rPr>
          <w:rFonts w:ascii="Liberation Serif" w:hAnsi="Liberation Serif"/>
          <w:b/>
          <w:sz w:val="24"/>
          <w:szCs w:val="24"/>
        </w:rPr>
        <w:t>%</w:t>
      </w:r>
      <w:r w:rsidRPr="00054AA3">
        <w:rPr>
          <w:rFonts w:ascii="Liberation Serif" w:hAnsi="Liberation Serif"/>
          <w:sz w:val="24"/>
          <w:szCs w:val="24"/>
        </w:rPr>
        <w:t xml:space="preserve"> – процент выкупной цены земельного участка.</w:t>
      </w:r>
    </w:p>
    <w:p w:rsidR="007C3170" w:rsidRPr="00054AA3" w:rsidRDefault="007C3170" w:rsidP="007C3170">
      <w:pPr>
        <w:pStyle w:val="ConsPlusNormal"/>
        <w:rPr>
          <w:rFonts w:ascii="Liberation Serif" w:hAnsi="Liberation Serif"/>
          <w:sz w:val="16"/>
          <w:szCs w:val="16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4. Размер процента выкупной цены земельных участков, находящихся в муниципальной собственности, при продаже их собственникам зданий, строений, сооружений, расположенных на этих земельных участках, устанавливается в размере 8,5 % кадастровой стоимости для юридических лиц, индивидуальных предпринимателей и граждан, за исключением случаев, указанных в пункте 5 настоящего Порядка.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5. Размер процента выкупной цены земельных участков, находящихся в муниципальной собственности, при продаже их собственникам зданий, строений, сооружений, расположенных на этих земельных участках, устанавливается в размере 1,5 % кадастровой стоимости для граждан при предоставлении им земельных участков, занятых объектами индивидуального жилищного строительства, в том числе созданными на земельных участках, предоставленных для ведения личного подсобного хозяйства, садоводства, а также гаражами, не используемыми в коммерческих целях и не размещаемыми в многоквартирных домах или зданиях (строениях, сооружениях) делового, административного или коммерческого назначения, права на которые зарегистрированы в установленном законодательством Российской Федерации порядке.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6. Размер выкупной цены для собственников зданий, строений и сооружений, расположенных на земельных участках, которые предоставлены по результатам аукциона для целей индивидуального жилищного строительства, устанавливается равным кадастровой стоимости таких земельных участков в течение пяти лет с даты осуществления государственной регистрации права собственности первого собственника таких зданий, строений и сооружений.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7. Цена земельного участка определяется в размере 15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%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его кадастровой стоимости при продаже земельного участка, предназначенного для ведения сельскохозяйственного производства и переданного в аренду гражданину или юридическому лицу, этому гражданину или этому юридическому лицу по истечении трех лет с момента заключения договора аренды с этим гражданином или этим юридическим лицом либо передачи прав и обязанностей по договору аренды земельного участка этому гражданину или этому юридическому лицу при 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участка.</w:t>
      </w:r>
    </w:p>
    <w:p w:rsidR="007C3170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8. Цена земельного участка определяется в размере 15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%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его кадастровой стоимости при продаже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 для собственных нужд, в соответствии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статьей 39.18 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Земельного кодекса Российской Федерации.</w:t>
      </w:r>
    </w:p>
    <w:p w:rsidR="007C3170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054AA3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54AA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Глава 3. Определение размера платы в случае заключения соглашения о перераспределении земельных участков, находящихся в частной собственности, и земельных участков, находящихся в муниципальной собственности</w:t>
      </w:r>
    </w:p>
    <w:p w:rsidR="007C3170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2" w:name="P68"/>
      <w:bookmarkEnd w:id="2"/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9. Размер платы за увеличение площади земельных участков, находящихся в частной собственности, в результате перераспределения таких земельных участков, и земельных участков, находящихся в муниципальной собственности, определяется как разница между кадастровой стоимостью земельного участка, образуемого в результате перераспределения земельных участков, находящихся в муниципальной собственности,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подачи заявления о предоставлении муниципальной услуги о перераспределении земельных участков, за исключением случаев, предусмотренных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пунктами 10 и 11 </w:t>
      </w:r>
      <w:hyperlink w:anchor="P75"/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настоящего </w:t>
      </w:r>
      <w:r w:rsidRPr="004821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орядка.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3" w:name="P69"/>
      <w:bookmarkEnd w:id="3"/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10. Размер платы за увеличение площади земельных участков, находящихся в частной собственности, в результате перераспределения таких земельных участков, и земельных участков, находящихся в муниципальной собственности, определяется как: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1)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15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% 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 разницы между кадастровой стоимостью земельного участка, образуемого в результате перераспределения земельных участков, находящихся в муниципальной собственности,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подачи заявления о перераспределении земельных участков, предназначенного для ведения личного подсобного хозяйства, огородничества, садоводства, индивидуального жилищного строительства;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2)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0,15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% 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разницы между кадастровой стоимостью земельного участка, образуемого в результате перераспределения земельных участков, находящихся в муниципальной 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собственности, и земельных участков, находящихся в частной собственности, и кадастровой стоимостью земельного участка, находящегося в частной собственности на день на день подачи заявления о перераспределении земельных участков: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–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занятого зданиями, строениями или сооружениями религиозного или благотворительного назначения, находящимися в собственности религиозной организации;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–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 в границах застроенной территории, в отношении которой в соответствии с Градостроительным </w:t>
      </w:r>
      <w:hyperlink r:id="rId7">
        <w:r w:rsidRPr="00E90416">
          <w:rPr>
            <w:rFonts w:ascii="Liberation Serif" w:eastAsia="Times New Roman" w:hAnsi="Liberation Serif" w:cs="Liberation Serif"/>
            <w:sz w:val="24"/>
            <w:szCs w:val="24"/>
            <w:lang w:eastAsia="ru-RU"/>
          </w:rPr>
          <w:t>кодексом</w:t>
        </w:r>
      </w:hyperlink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Российской Федерации принято решение о комплексном развитии территории и заключен договор о развитии территории по заявлению лица, с которым заключен этот договор, в соответствии с документацией по планировке территории, утвержденной в порядке, установленном законодательством о градостроительной деятельности;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</w:rPr>
        <w:t>–</w:t>
      </w:r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 в случае если в соответствии с документацией по планировке территории, утвержденной в порядке, установленном законодательством о градостроительной деятельности, на образуемом в результате такого перераспределения земельном участке расположены многоквартирный дом и иные входящие в состав такого дома объекты недвижимого имущества.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bookmarkStart w:id="4" w:name="P75"/>
      <w:bookmarkEnd w:id="4"/>
      <w:r w:rsidRPr="00E90416">
        <w:rPr>
          <w:rFonts w:ascii="Liberation Serif" w:eastAsia="Times New Roman" w:hAnsi="Liberation Serif" w:cs="Liberation Serif"/>
          <w:sz w:val="24"/>
          <w:szCs w:val="24"/>
          <w:lang w:eastAsia="ru-RU"/>
        </w:rPr>
        <w:t>11. 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собственности, подлежащей передаче в частную собственность в результате перераспределения земельных участков.</w:t>
      </w:r>
    </w:p>
    <w:p w:rsidR="007C3170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Глава 4. Порядок оплаты земельных участков, находящихся в муниципальной собственности, при заключении договоров купли-продажи земельных участков без проведения торгов и внесения платы в случае заключения соглашений о перераспределении земельных участков, находящихся в частной собственности и земельных участков, находящихся в муниципальной собственности</w:t>
      </w: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12. Расчет цены и размера платы, указанный в пунктах 2 – 11 настоящего Порядка (далее – выкупная цена), осуществляется за каждый земельный участок отдельно комитетом по управлению имуществом Администрации городского округа Верхняя Пышма.</w:t>
      </w: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13. Выкупная цена земельного участка определяется из размера его кадастровой стоимости на момент заключения соответствующего договора, за исключением случаев, предусмотренных пунктами 10 – 11</w:t>
      </w:r>
      <w:hyperlink w:anchor="P75"/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настоящего Порядка.</w:t>
      </w: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14. Условия выкупа устанавливаются договором купли-продажи либо соглашением о перераспределении земельных участков, при этом срок оплаты выкупной цены не может превышать 30 календарных дней с момента заключения соответствующего договора либо соглашения.</w:t>
      </w:r>
    </w:p>
    <w:p w:rsidR="007C3170" w:rsidRPr="001943EB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15. Оплата земельного участка при его продаже осуществляется путем перечисления денежных средств на счет в Управлении Федерального казначейства по Свердловской области, указанный в договоре купли-продажи земельного участка либо в соглашении о</w:t>
      </w:r>
      <w:r w:rsidRPr="00054AA3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перераспределении земельных участков в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соответствии с требованиями бюджетного законодательства.</w:t>
      </w:r>
    </w:p>
    <w:p w:rsidR="007C3170" w:rsidRPr="00E90416" w:rsidRDefault="007C3170" w:rsidP="007C3170">
      <w:pPr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943EB">
        <w:rPr>
          <w:rFonts w:ascii="Liberation Serif" w:eastAsia="Times New Roman" w:hAnsi="Liberation Serif" w:cs="Liberation Serif"/>
          <w:sz w:val="24"/>
          <w:szCs w:val="24"/>
          <w:lang w:eastAsia="ru-RU"/>
        </w:rPr>
        <w:t>16. Передача земельного участка осуществляется после полной оплаты выкупной цены земельного участка и оформляется актом приема-передачи.</w:t>
      </w:r>
    </w:p>
    <w:p w:rsidR="007C3170" w:rsidRPr="007C3170" w:rsidRDefault="007C3170" w:rsidP="007C3170">
      <w:pPr>
        <w:rPr>
          <w:lang w:eastAsia="ru-RU"/>
        </w:rPr>
      </w:pPr>
      <w:bookmarkStart w:id="5" w:name="_GoBack"/>
      <w:bookmarkEnd w:id="5"/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Pr="007C3170" w:rsidRDefault="007C3170" w:rsidP="007C3170">
      <w:pPr>
        <w:rPr>
          <w:lang w:eastAsia="ru-RU"/>
        </w:rPr>
      </w:pPr>
    </w:p>
    <w:p w:rsidR="007C3170" w:rsidRDefault="007C3170" w:rsidP="00E90416">
      <w:pPr>
        <w:pStyle w:val="ConsPlusNormal"/>
        <w:widowControl/>
        <w:ind w:right="-2" w:firstLine="709"/>
        <w:jc w:val="both"/>
      </w:pPr>
    </w:p>
    <w:p w:rsidR="007C3170" w:rsidRDefault="007C3170" w:rsidP="00E90416">
      <w:pPr>
        <w:pStyle w:val="ConsPlusNormal"/>
        <w:widowControl/>
        <w:ind w:right="-2" w:firstLine="709"/>
        <w:jc w:val="both"/>
      </w:pPr>
    </w:p>
    <w:p w:rsidR="007C3170" w:rsidRDefault="007C3170" w:rsidP="00E90416">
      <w:pPr>
        <w:pStyle w:val="ConsPlusNormal"/>
        <w:widowControl/>
        <w:ind w:right="-2" w:firstLine="709"/>
        <w:jc w:val="both"/>
      </w:pPr>
    </w:p>
    <w:p w:rsidR="007C3170" w:rsidRDefault="007C3170" w:rsidP="007C3170">
      <w:pPr>
        <w:pStyle w:val="ConsPlusNormal"/>
        <w:widowControl/>
        <w:tabs>
          <w:tab w:val="left" w:pos="2820"/>
        </w:tabs>
        <w:ind w:right="-2" w:firstLine="709"/>
        <w:jc w:val="both"/>
      </w:pPr>
      <w:r>
        <w:tab/>
      </w:r>
    </w:p>
    <w:p w:rsidR="001B7944" w:rsidRPr="00E90416" w:rsidRDefault="001B7944" w:rsidP="00E90416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C3170">
        <w:br w:type="page"/>
      </w:r>
    </w:p>
    <w:sectPr w:rsidR="001B7944" w:rsidRPr="00E90416" w:rsidSect="007F0344">
      <w:headerReference w:type="default" r:id="rId8"/>
      <w:pgSz w:w="11906" w:h="16838"/>
      <w:pgMar w:top="510" w:right="567" w:bottom="51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698" w:rsidRDefault="00B03698" w:rsidP="00E90416">
      <w:pPr>
        <w:spacing w:after="0" w:line="240" w:lineRule="auto"/>
      </w:pPr>
      <w:r>
        <w:separator/>
      </w:r>
    </w:p>
  </w:endnote>
  <w:endnote w:type="continuationSeparator" w:id="0">
    <w:p w:rsidR="00B03698" w:rsidRDefault="00B03698" w:rsidP="00E9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698" w:rsidRDefault="00B03698" w:rsidP="00E90416">
      <w:pPr>
        <w:spacing w:after="0" w:line="240" w:lineRule="auto"/>
      </w:pPr>
      <w:r>
        <w:separator/>
      </w:r>
    </w:p>
  </w:footnote>
  <w:footnote w:type="continuationSeparator" w:id="0">
    <w:p w:rsidR="00B03698" w:rsidRDefault="00B03698" w:rsidP="00E9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82016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E90416" w:rsidRPr="00E90416" w:rsidRDefault="00E90416" w:rsidP="00E90416">
        <w:pPr>
          <w:pStyle w:val="a8"/>
          <w:spacing w:after="0" w:line="240" w:lineRule="auto"/>
          <w:jc w:val="center"/>
          <w:rPr>
            <w:rFonts w:ascii="Liberation Serif" w:hAnsi="Liberation Serif"/>
          </w:rPr>
        </w:pPr>
        <w:r w:rsidRPr="00E90416">
          <w:rPr>
            <w:rFonts w:ascii="Liberation Serif" w:hAnsi="Liberation Serif"/>
          </w:rPr>
          <w:fldChar w:fldCharType="begin"/>
        </w:r>
        <w:r w:rsidRPr="00E90416">
          <w:rPr>
            <w:rFonts w:ascii="Liberation Serif" w:hAnsi="Liberation Serif"/>
          </w:rPr>
          <w:instrText>PAGE   \* MERGEFORMAT</w:instrText>
        </w:r>
        <w:r w:rsidRPr="00E90416">
          <w:rPr>
            <w:rFonts w:ascii="Liberation Serif" w:hAnsi="Liberation Serif"/>
          </w:rPr>
          <w:fldChar w:fldCharType="separate"/>
        </w:r>
        <w:r w:rsidR="007C3170">
          <w:rPr>
            <w:rFonts w:ascii="Liberation Serif" w:hAnsi="Liberation Serif"/>
            <w:noProof/>
          </w:rPr>
          <w:t>5</w:t>
        </w:r>
        <w:r w:rsidRPr="00E90416">
          <w:rPr>
            <w:rFonts w:ascii="Liberation Serif" w:hAnsi="Liberation Serif"/>
          </w:rPr>
          <w:fldChar w:fldCharType="end"/>
        </w:r>
      </w:p>
    </w:sdtContent>
  </w:sdt>
  <w:p w:rsidR="00E90416" w:rsidRPr="00E90416" w:rsidRDefault="00E90416" w:rsidP="00E90416">
    <w:pPr>
      <w:pStyle w:val="a8"/>
      <w:spacing w:after="0" w:line="240" w:lineRule="auto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87070"/>
    <w:multiLevelType w:val="hybridMultilevel"/>
    <w:tmpl w:val="BE2E7ECE"/>
    <w:lvl w:ilvl="0" w:tplc="77CA07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2722374"/>
    <w:multiLevelType w:val="hybridMultilevel"/>
    <w:tmpl w:val="767E3088"/>
    <w:lvl w:ilvl="0" w:tplc="57D4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375AE2"/>
    <w:multiLevelType w:val="hybridMultilevel"/>
    <w:tmpl w:val="F0C8D47E"/>
    <w:lvl w:ilvl="0" w:tplc="66A4FA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22"/>
    <w:rsid w:val="00044F37"/>
    <w:rsid w:val="000529D5"/>
    <w:rsid w:val="00054AA3"/>
    <w:rsid w:val="0006070D"/>
    <w:rsid w:val="0009644D"/>
    <w:rsid w:val="000E6FC4"/>
    <w:rsid w:val="0010014A"/>
    <w:rsid w:val="00131742"/>
    <w:rsid w:val="001943EB"/>
    <w:rsid w:val="001B7944"/>
    <w:rsid w:val="002155C0"/>
    <w:rsid w:val="00266B0D"/>
    <w:rsid w:val="0026736F"/>
    <w:rsid w:val="002D06BD"/>
    <w:rsid w:val="002F7855"/>
    <w:rsid w:val="0030242C"/>
    <w:rsid w:val="0037252E"/>
    <w:rsid w:val="00381782"/>
    <w:rsid w:val="00394F8F"/>
    <w:rsid w:val="003D75CA"/>
    <w:rsid w:val="00411E2B"/>
    <w:rsid w:val="00425946"/>
    <w:rsid w:val="00451355"/>
    <w:rsid w:val="0048213D"/>
    <w:rsid w:val="004D6D05"/>
    <w:rsid w:val="004E4E36"/>
    <w:rsid w:val="0050656C"/>
    <w:rsid w:val="00506D0A"/>
    <w:rsid w:val="0054230C"/>
    <w:rsid w:val="00556DA1"/>
    <w:rsid w:val="005D7382"/>
    <w:rsid w:val="006041EE"/>
    <w:rsid w:val="00665235"/>
    <w:rsid w:val="006725B0"/>
    <w:rsid w:val="00750968"/>
    <w:rsid w:val="00765CD5"/>
    <w:rsid w:val="00771596"/>
    <w:rsid w:val="00785E86"/>
    <w:rsid w:val="007C3170"/>
    <w:rsid w:val="007F0344"/>
    <w:rsid w:val="0084404C"/>
    <w:rsid w:val="008663F6"/>
    <w:rsid w:val="00886F81"/>
    <w:rsid w:val="008C659E"/>
    <w:rsid w:val="00905D39"/>
    <w:rsid w:val="0096405F"/>
    <w:rsid w:val="009679F3"/>
    <w:rsid w:val="009B1205"/>
    <w:rsid w:val="009F1283"/>
    <w:rsid w:val="009F48AA"/>
    <w:rsid w:val="00A14A9F"/>
    <w:rsid w:val="00A32C4E"/>
    <w:rsid w:val="00A40815"/>
    <w:rsid w:val="00A84147"/>
    <w:rsid w:val="00B03698"/>
    <w:rsid w:val="00B15E0D"/>
    <w:rsid w:val="00B60D6B"/>
    <w:rsid w:val="00B62BE3"/>
    <w:rsid w:val="00C03992"/>
    <w:rsid w:val="00C21ACF"/>
    <w:rsid w:val="00CA6148"/>
    <w:rsid w:val="00D34225"/>
    <w:rsid w:val="00D76C22"/>
    <w:rsid w:val="00E21A6F"/>
    <w:rsid w:val="00E65C31"/>
    <w:rsid w:val="00E90416"/>
    <w:rsid w:val="00E90BF9"/>
    <w:rsid w:val="00EA0C8D"/>
    <w:rsid w:val="00F122A9"/>
    <w:rsid w:val="00F9250F"/>
    <w:rsid w:val="00FA6185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1ED170-188F-4520-90E3-74CAE518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1AC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6C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6C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21ACF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6FC4"/>
    <w:rPr>
      <w:color w:val="000080"/>
      <w:u w:val="single"/>
    </w:rPr>
  </w:style>
  <w:style w:type="paragraph" w:styleId="a5">
    <w:name w:val="Balloon Text"/>
    <w:basedOn w:val="a"/>
    <w:link w:val="a6"/>
    <w:unhideWhenUsed/>
    <w:rsid w:val="004D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4D6D05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rsid w:val="00B62BE3"/>
  </w:style>
  <w:style w:type="paragraph" w:styleId="2">
    <w:name w:val="Body Text Indent 2"/>
    <w:basedOn w:val="a"/>
    <w:link w:val="20"/>
    <w:rsid w:val="00B62BE3"/>
    <w:pPr>
      <w:widowControl w:val="0"/>
      <w:suppressAutoHyphens w:val="0"/>
      <w:autoSpaceDE w:val="0"/>
      <w:adjustRightInd w:val="0"/>
      <w:spacing w:after="120" w:line="480" w:lineRule="auto"/>
      <w:ind w:left="283"/>
      <w:textAlignment w:val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2B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rsid w:val="00B62B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B62BE3"/>
    <w:pPr>
      <w:tabs>
        <w:tab w:val="center" w:pos="4677"/>
        <w:tab w:val="right" w:pos="9355"/>
      </w:tabs>
      <w:suppressAutoHyphens w:val="0"/>
      <w:autoSpaceDN/>
      <w:spacing w:after="200" w:line="276" w:lineRule="auto"/>
      <w:textAlignment w:val="auto"/>
    </w:pPr>
  </w:style>
  <w:style w:type="character" w:customStyle="1" w:styleId="a9">
    <w:name w:val="Верхний колонтитул Знак"/>
    <w:basedOn w:val="a0"/>
    <w:link w:val="a8"/>
    <w:uiPriority w:val="99"/>
    <w:rsid w:val="00B62BE3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B62BE3"/>
    <w:pPr>
      <w:tabs>
        <w:tab w:val="center" w:pos="4677"/>
        <w:tab w:val="right" w:pos="9355"/>
      </w:tabs>
      <w:suppressAutoHyphens w:val="0"/>
      <w:autoSpaceDN/>
      <w:spacing w:after="200" w:line="276" w:lineRule="auto"/>
      <w:textAlignment w:val="auto"/>
    </w:pPr>
  </w:style>
  <w:style w:type="character" w:customStyle="1" w:styleId="ab">
    <w:name w:val="Нижний колонтитул Знак"/>
    <w:basedOn w:val="a0"/>
    <w:link w:val="aa"/>
    <w:rsid w:val="00B62BE3"/>
    <w:rPr>
      <w:rFonts w:ascii="Calibri" w:eastAsia="Calibri" w:hAnsi="Calibri" w:cs="Times New Roman"/>
    </w:rPr>
  </w:style>
  <w:style w:type="paragraph" w:styleId="ac">
    <w:name w:val="Subtitle"/>
    <w:basedOn w:val="a"/>
    <w:link w:val="ad"/>
    <w:qFormat/>
    <w:rsid w:val="001B7944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1B79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Title"/>
    <w:basedOn w:val="a"/>
    <w:link w:val="af"/>
    <w:qFormat/>
    <w:rsid w:val="001B7944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1B79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0">
    <w:name w:val="List Paragraph"/>
    <w:basedOn w:val="a"/>
    <w:uiPriority w:val="34"/>
    <w:qFormat/>
    <w:rsid w:val="00E9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Вилисова Екатерина Витальевна</cp:lastModifiedBy>
  <cp:revision>6</cp:revision>
  <cp:lastPrinted>2021-08-26T05:59:00Z</cp:lastPrinted>
  <dcterms:created xsi:type="dcterms:W3CDTF">2026-02-26T11:43:00Z</dcterms:created>
  <dcterms:modified xsi:type="dcterms:W3CDTF">2026-05-14T04:55:00Z</dcterms:modified>
</cp:coreProperties>
</file>