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"/>
        <w:gridCol w:w="1804"/>
        <w:gridCol w:w="416"/>
        <w:gridCol w:w="555"/>
        <w:gridCol w:w="6207"/>
      </w:tblGrid>
      <w:tr w:rsidR="00C449A0" w:rsidTr="00C449A0">
        <w:trPr>
          <w:trHeight w:val="524"/>
        </w:trPr>
        <w:tc>
          <w:tcPr>
            <w:tcW w:w="948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49A0" w:rsidRDefault="00C449A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449A0" w:rsidRDefault="00C449A0">
            <w:pPr>
              <w:tabs>
                <w:tab w:val="left" w:leader="underscore" w:pos="9639"/>
              </w:tabs>
              <w:jc w:val="center"/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449A0" w:rsidRDefault="00C449A0">
            <w:pPr>
              <w:jc w:val="center"/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449A0" w:rsidRDefault="00C449A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0" t="19050" r="12065" b="19050"/>
                      <wp:wrapNone/>
                      <wp:docPr id="2" name="Поли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60085" cy="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+- 0 0 -180"/>
                                  <a:gd name="f8" fmla="+- 0 0 -360"/>
                                  <a:gd name="f9" fmla="abs f3"/>
                                  <a:gd name="f10" fmla="abs f4"/>
                                  <a:gd name="f11" fmla="abs f5"/>
                                  <a:gd name="f12" fmla="*/ f7 f0 1"/>
                                  <a:gd name="f13" fmla="*/ f8 f0 1"/>
                                  <a:gd name="f14" fmla="?: f9 f3 1"/>
                                  <a:gd name="f15" fmla="?: f10 f4 1"/>
                                  <a:gd name="f16" fmla="?: f11 f5 1"/>
                                  <a:gd name="f17" fmla="*/ f12 1 f2"/>
                                  <a:gd name="f18" fmla="*/ f13 1 f2"/>
                                  <a:gd name="f19" fmla="*/ f14 1 21600"/>
                                  <a:gd name="f20" fmla="*/ f15 1 21600"/>
                                  <a:gd name="f21" fmla="*/ 21600 f14 1"/>
                                  <a:gd name="f22" fmla="*/ 21600 f15 1"/>
                                  <a:gd name="f23" fmla="+- f17 0 f1"/>
                                  <a:gd name="f24" fmla="+- f18 0 f1"/>
                                  <a:gd name="f25" fmla="min f20 f19"/>
                                  <a:gd name="f26" fmla="*/ f21 1 f16"/>
                                  <a:gd name="f27" fmla="*/ f22 1 f16"/>
                                  <a:gd name="f28" fmla="val f26"/>
                                  <a:gd name="f29" fmla="val f27"/>
                                  <a:gd name="f30" fmla="*/ f6 f25 1"/>
                                  <a:gd name="f31" fmla="*/ f28 f25 1"/>
                                  <a:gd name="f32" fmla="*/ f29 f2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3">
                                    <a:pos x="f30" y="f30"/>
                                  </a:cxn>
                                  <a:cxn ang="f24">
                                    <a:pos x="f31" y="f32"/>
                                  </a:cxn>
                                </a:cxnLst>
                                <a:rect l="f30" t="f30" r="f31" b="f32"/>
                                <a:pathLst>
                                  <a:path>
                                    <a:moveTo>
                                      <a:pt x="f30" y="f30"/>
                                    </a:moveTo>
                                    <a:lnTo>
                                      <a:pt x="f31" y="f32"/>
                                    </a:lnTo>
                                  </a:path>
                                </a:pathLst>
                              </a:custGeom>
                              <a:noFill/>
                              <a:ln w="3810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A9FC61" id="Полилиния 2" o:spid="_x0000_s1026" style="position:absolute;margin-left:21.1pt;margin-top:3.7pt;width:453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76008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" path="m,l5760085,1e" filled="f" strokeweight="1.0584mm">
                      <v:path arrowok="t" o:connecttype="custom" o:connectlocs="2880043,0;5760085,1;2880043,1;0,1;0,0;5760085,1" o:connectangles="270,0,90,180,90,270" textboxrect="0,0,5760085,0"/>
                    </v:shape>
                  </w:pict>
                </mc:Fallback>
              </mc:AlternateContent>
            </w:r>
          </w:p>
        </w:tc>
      </w:tr>
      <w:tr w:rsidR="00C449A0" w:rsidTr="00C449A0">
        <w:trPr>
          <w:trHeight w:val="524"/>
        </w:trPr>
        <w:tc>
          <w:tcPr>
            <w:tcW w:w="28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449A0" w:rsidRDefault="00C449A0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449A0" w:rsidRDefault="00C449A0">
            <w:pPr>
              <w:tabs>
                <w:tab w:val="left" w:leader="underscore" w:pos="9639"/>
              </w:tabs>
              <w:jc w:val="center"/>
            </w:pPr>
            <w:bookmarkStart w:id="0" w:name="Регдата"/>
            <w:bookmarkEnd w:id="0"/>
          </w:p>
        </w:tc>
        <w:tc>
          <w:tcPr>
            <w:tcW w:w="42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449A0" w:rsidRDefault="00C449A0">
            <w:pPr>
              <w:tabs>
                <w:tab w:val="left" w:leader="underscore" w:pos="9639"/>
              </w:tabs>
              <w:jc w:val="center"/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449A0" w:rsidRDefault="00C449A0">
            <w:pPr>
              <w:tabs>
                <w:tab w:val="left" w:leader="underscore" w:pos="9639"/>
              </w:tabs>
              <w:jc w:val="center"/>
            </w:pPr>
            <w:bookmarkStart w:id="1" w:name="Регномер"/>
            <w:bookmarkEnd w:id="1"/>
          </w:p>
        </w:tc>
        <w:tc>
          <w:tcPr>
            <w:tcW w:w="635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449A0" w:rsidRDefault="00C449A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b/>
                <w:szCs w:val="28"/>
              </w:rPr>
              <w:t xml:space="preserve"> </w:t>
            </w:r>
          </w:p>
        </w:tc>
      </w:tr>
      <w:tr w:rsidR="00C449A0" w:rsidTr="00C449A0">
        <w:trPr>
          <w:trHeight w:val="130"/>
        </w:trPr>
        <w:tc>
          <w:tcPr>
            <w:tcW w:w="948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49A0" w:rsidRDefault="00C449A0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449A0" w:rsidTr="00C449A0">
        <w:tc>
          <w:tcPr>
            <w:tcW w:w="948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49A0" w:rsidRDefault="00C449A0"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449A0" w:rsidRDefault="00C449A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C449A0" w:rsidRDefault="00C449A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C449A0" w:rsidTr="00C449A0">
        <w:tc>
          <w:tcPr>
            <w:tcW w:w="948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49A0" w:rsidRDefault="00C449A0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2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Порядка расходования субсидии из областного бюджета бюджету городского округа Верхняя Пышма, расположенного на территории Свердловской области</w:t>
            </w:r>
            <w:bookmarkEnd w:id="2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, на модернизацию библиотек в части комплектования книжных фондов</w:t>
            </w:r>
          </w:p>
        </w:tc>
      </w:tr>
      <w:tr w:rsidR="00C449A0" w:rsidTr="00C449A0">
        <w:tc>
          <w:tcPr>
            <w:tcW w:w="948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49A0" w:rsidRDefault="00C449A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449A0" w:rsidRDefault="00C449A0" w:rsidP="00C449A0">
      <w:pPr>
        <w:widowControl w:val="0"/>
        <w:autoSpaceDE w:val="0"/>
        <w:spacing w:before="280"/>
        <w:ind w:firstLine="708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 Бюджетным </w:t>
      </w:r>
      <w:r w:rsidRPr="00C449A0">
        <w:rPr>
          <w:rFonts w:ascii="Liberation Serif" w:hAnsi="Liberation Serif" w:cs="Liberation Serif"/>
          <w:sz w:val="28"/>
          <w:szCs w:val="28"/>
        </w:rPr>
        <w:t>кодексом</w:t>
      </w:r>
      <w:r>
        <w:rPr>
          <w:rFonts w:ascii="Liberation Serif" w:hAnsi="Liberation Serif" w:cs="Liberation Serif"/>
          <w:sz w:val="28"/>
          <w:szCs w:val="28"/>
        </w:rPr>
        <w:t xml:space="preserve"> Российской Федерации, </w:t>
      </w:r>
      <w:r w:rsidRPr="00C449A0">
        <w:rPr>
          <w:rFonts w:ascii="Liberation Serif" w:hAnsi="Liberation Serif" w:cs="Liberation Serif"/>
          <w:sz w:val="28"/>
          <w:szCs w:val="28"/>
        </w:rPr>
        <w:t>Законом</w:t>
      </w:r>
      <w:r>
        <w:rPr>
          <w:rFonts w:ascii="Liberation Serif" w:hAnsi="Liberation Serif" w:cs="Liberation Serif"/>
          <w:sz w:val="28"/>
          <w:szCs w:val="28"/>
        </w:rPr>
        <w:t xml:space="preserve"> Свердловской области от 10 декабря 2025 года № 91-ОЗ «Об областном бюджете на 2026 год и плановый период 2027 и 2028 годов», Порядком предоставления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распределения субсидий из областного бюджета бюджетам муниципальных образований, расположенных на территории Свердловской области </w:t>
      </w:r>
      <w:r>
        <w:rPr>
          <w:rFonts w:ascii="Liberation Serif" w:hAnsi="Liberation Serif" w:cs="Liberation Serif"/>
          <w:sz w:val="28"/>
          <w:szCs w:val="28"/>
        </w:rPr>
        <w:br/>
        <w:t xml:space="preserve">на модернизацию библиотек в части комплектования книжных </w:t>
      </w:r>
      <w:r>
        <w:rPr>
          <w:rFonts w:ascii="Liberation Serif" w:hAnsi="Liberation Serif" w:cs="Liberation Serif"/>
          <w:sz w:val="28"/>
          <w:szCs w:val="28"/>
        </w:rPr>
        <w:br/>
        <w:t xml:space="preserve">фондов, приведенным в приложении № 5 к государственной программе Свердловской области «Развитие культуры в Свердловской области», утвержденной постановлением Правительства Свердловской области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21.10.2013 № 1268-ПП, </w:t>
      </w:r>
      <w:r w:rsidRPr="00C449A0">
        <w:rPr>
          <w:rFonts w:ascii="Liberation Serif" w:hAnsi="Liberation Serif" w:cs="Liberation Serif"/>
          <w:sz w:val="28"/>
          <w:szCs w:val="28"/>
        </w:rPr>
        <w:t>Уставом</w:t>
      </w:r>
      <w:r>
        <w:rPr>
          <w:rFonts w:ascii="Liberation Serif" w:hAnsi="Liberation Serif" w:cs="Liberation Serif"/>
          <w:sz w:val="28"/>
          <w:szCs w:val="28"/>
        </w:rPr>
        <w:t xml:space="preserve"> городского округа Верхняя Пышма Свердловской области, Администрация городского округа Верхняя Пышма </w:t>
      </w:r>
    </w:p>
    <w:p w:rsidR="00C449A0" w:rsidRDefault="00C449A0" w:rsidP="00C449A0">
      <w:pPr>
        <w:widowControl w:val="0"/>
        <w:jc w:val="both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ПОСТАНОВЛЯЕТ:</w:t>
      </w:r>
    </w:p>
    <w:p w:rsidR="00C449A0" w:rsidRDefault="00C449A0" w:rsidP="00C449A0">
      <w:pPr>
        <w:pStyle w:val="a3"/>
        <w:widowControl w:val="0"/>
        <w:numPr>
          <w:ilvl w:val="0"/>
          <w:numId w:val="1"/>
        </w:numPr>
        <w:tabs>
          <w:tab w:val="left" w:pos="1276"/>
        </w:tabs>
        <w:autoSpaceDE w:val="0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Утвердить Порядок расходования субсидии из областного бюджета бюджету городского округа Верхняя Пышма, расположенного на территории Свердловской области, на модернизацию библиотек в части комплектования книжных фондов (прилагается).</w:t>
      </w:r>
    </w:p>
    <w:p w:rsidR="00C449A0" w:rsidRDefault="00C449A0" w:rsidP="00C449A0">
      <w:pPr>
        <w:pStyle w:val="a3"/>
        <w:widowControl w:val="0"/>
        <w:numPr>
          <w:ilvl w:val="0"/>
          <w:numId w:val="1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Контроль исполнения настоящего постановления возложить на заместителя главы администрации по социальным вопросам городского округа Верхняя Пышма Карпова Д.Г.</w:t>
      </w:r>
    </w:p>
    <w:p w:rsidR="00C449A0" w:rsidRDefault="00C449A0" w:rsidP="00C449A0">
      <w:pPr>
        <w:pStyle w:val="a3"/>
        <w:widowControl w:val="0"/>
        <w:numPr>
          <w:ilvl w:val="0"/>
          <w:numId w:val="1"/>
        </w:numPr>
        <w:tabs>
          <w:tab w:val="left" w:pos="1276"/>
        </w:tabs>
        <w:spacing w:after="200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p w:rsidR="00C449A0" w:rsidRDefault="00C449A0" w:rsidP="00C449A0">
      <w:pPr>
        <w:widowControl w:val="0"/>
        <w:tabs>
          <w:tab w:val="left" w:pos="1276"/>
        </w:tabs>
        <w:spacing w:after="200"/>
        <w:jc w:val="both"/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0"/>
        <w:gridCol w:w="3265"/>
      </w:tblGrid>
      <w:tr w:rsidR="00C449A0" w:rsidTr="00C449A0">
        <w:tc>
          <w:tcPr>
            <w:tcW w:w="623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449A0" w:rsidRDefault="00C449A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Исполняющий полномочия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Главы городского округа</w:t>
            </w:r>
          </w:p>
        </w:tc>
        <w:tc>
          <w:tcPr>
            <w:tcW w:w="334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449A0" w:rsidRDefault="00C449A0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С.А.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Барменков</w:t>
            </w:r>
            <w:proofErr w:type="spellEnd"/>
          </w:p>
        </w:tc>
      </w:tr>
    </w:tbl>
    <w:p w:rsidR="00C449A0" w:rsidRDefault="00C449A0" w:rsidP="00C449A0">
      <w:pPr>
        <w:pStyle w:val="ConsNormal"/>
        <w:widowControl/>
        <w:ind w:firstLine="0"/>
        <w:rPr>
          <w:rFonts w:ascii="Liberation Serif" w:hAnsi="Liberation Serif"/>
          <w:sz w:val="6"/>
        </w:rPr>
      </w:pPr>
    </w:p>
    <w:p w:rsidR="00C449A0" w:rsidRDefault="00C449A0">
      <w:pPr>
        <w:suppressAutoHyphens w:val="0"/>
        <w:autoSpaceDN/>
        <w:spacing w:after="160" w:line="259" w:lineRule="auto"/>
      </w:pPr>
      <w:r>
        <w:br w:type="page"/>
      </w:r>
    </w:p>
    <w:p w:rsidR="00C449A0" w:rsidRDefault="00C449A0" w:rsidP="00C449A0">
      <w:pPr>
        <w:ind w:left="-57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5E1327" wp14:editId="6F11C9C8">
                <wp:simplePos x="0" y="0"/>
                <wp:positionH relativeFrom="column">
                  <wp:posOffset>3225161</wp:posOffset>
                </wp:positionH>
                <wp:positionV relativeFrom="paragraph">
                  <wp:posOffset>3813</wp:posOffset>
                </wp:positionV>
                <wp:extent cx="2914019" cy="1047116"/>
                <wp:effectExtent l="0" t="0" r="631" b="634"/>
                <wp:wrapNone/>
                <wp:docPr id="1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019" cy="10471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449A0" w:rsidRDefault="00C449A0" w:rsidP="00C449A0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C449A0" w:rsidRDefault="00C449A0" w:rsidP="00C449A0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 Администрации</w:t>
                            </w:r>
                          </w:p>
                          <w:p w:rsidR="00C449A0" w:rsidRDefault="00C449A0" w:rsidP="00C449A0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4298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42"/>
                              <w:gridCol w:w="2118"/>
                              <w:gridCol w:w="484"/>
                              <w:gridCol w:w="1154"/>
                            </w:tblGrid>
                            <w:tr w:rsidR="00C449A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542" w:type="dxa"/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C449A0" w:rsidRDefault="00C449A0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118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C449A0" w:rsidRDefault="00C449A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C449A0" w:rsidRDefault="00C449A0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C449A0" w:rsidRDefault="00C449A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C449A0" w:rsidRDefault="00C449A0" w:rsidP="00C449A0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5E132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53.95pt;margin-top:.3pt;width:229.45pt;height:82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" stroked="f">
                <v:textbox>
                  <w:txbxContent>
                    <w:p w:rsidR="00C449A0" w:rsidRDefault="00C449A0" w:rsidP="00C449A0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C449A0" w:rsidRDefault="00C449A0" w:rsidP="00C449A0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 Администрации</w:t>
                      </w:r>
                    </w:p>
                    <w:p w:rsidR="00C449A0" w:rsidRDefault="00C449A0" w:rsidP="00C449A0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4298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42"/>
                        <w:gridCol w:w="2118"/>
                        <w:gridCol w:w="484"/>
                        <w:gridCol w:w="1154"/>
                      </w:tblGrid>
                      <w:tr w:rsidR="00C449A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542" w:type="dxa"/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C449A0" w:rsidRDefault="00C449A0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118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:rsidR="00C449A0" w:rsidRDefault="00C449A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C449A0" w:rsidRDefault="00C449A0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C449A0" w:rsidRDefault="00C449A0">
                            <w:pPr>
                              <w:jc w:val="center"/>
                            </w:pPr>
                            <w:r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:rsidR="00C449A0" w:rsidRDefault="00C449A0" w:rsidP="00C449A0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449A0" w:rsidRDefault="00C449A0" w:rsidP="00C449A0">
      <w:pPr>
        <w:ind w:left="-57"/>
        <w:jc w:val="center"/>
        <w:rPr>
          <w:rFonts w:ascii="Liberation Serif" w:hAnsi="Liberation Serif"/>
          <w:b/>
          <w:spacing w:val="2"/>
          <w:sz w:val="32"/>
          <w:szCs w:val="32"/>
        </w:rPr>
      </w:pPr>
    </w:p>
    <w:p w:rsidR="00C449A0" w:rsidRDefault="00C449A0" w:rsidP="00C449A0">
      <w:pPr>
        <w:ind w:left="-57"/>
        <w:jc w:val="center"/>
        <w:rPr>
          <w:rFonts w:ascii="Liberation Serif" w:hAnsi="Liberation Serif"/>
          <w:b/>
          <w:spacing w:val="2"/>
          <w:sz w:val="32"/>
          <w:szCs w:val="32"/>
        </w:rPr>
      </w:pPr>
    </w:p>
    <w:p w:rsidR="00C449A0" w:rsidRDefault="00C449A0" w:rsidP="00C449A0">
      <w:pPr>
        <w:ind w:left="-57"/>
        <w:jc w:val="center"/>
        <w:rPr>
          <w:rFonts w:ascii="Liberation Serif" w:hAnsi="Liberation Serif"/>
          <w:b/>
          <w:spacing w:val="2"/>
          <w:sz w:val="32"/>
          <w:szCs w:val="32"/>
        </w:rPr>
      </w:pPr>
    </w:p>
    <w:p w:rsidR="00C449A0" w:rsidRDefault="00C449A0" w:rsidP="00C449A0">
      <w:pPr>
        <w:autoSpaceDE w:val="0"/>
        <w:ind w:firstLine="540"/>
        <w:jc w:val="both"/>
        <w:rPr>
          <w:rFonts w:ascii="Liberation Serif" w:hAnsi="Liberation Serif"/>
          <w:b/>
          <w:i/>
          <w:sz w:val="28"/>
          <w:szCs w:val="28"/>
        </w:rPr>
      </w:pPr>
    </w:p>
    <w:p w:rsidR="00C449A0" w:rsidRDefault="00C449A0" w:rsidP="00C449A0">
      <w:pPr>
        <w:autoSpaceDE w:val="0"/>
        <w:ind w:firstLine="540"/>
        <w:jc w:val="center"/>
        <w:rPr>
          <w:rFonts w:ascii="Liberation Serif" w:hAnsi="Liberation Serif"/>
          <w:b/>
          <w:sz w:val="28"/>
          <w:szCs w:val="28"/>
        </w:rPr>
      </w:pPr>
    </w:p>
    <w:p w:rsidR="00C449A0" w:rsidRDefault="00C449A0" w:rsidP="00C449A0">
      <w:pPr>
        <w:autoSpaceDE w:val="0"/>
        <w:ind w:firstLine="540"/>
        <w:jc w:val="center"/>
        <w:rPr>
          <w:rFonts w:ascii="Liberation Serif" w:hAnsi="Liberation Serif"/>
          <w:b/>
          <w:sz w:val="28"/>
          <w:szCs w:val="28"/>
        </w:rPr>
      </w:pPr>
    </w:p>
    <w:p w:rsidR="00C449A0" w:rsidRDefault="00C449A0" w:rsidP="00C449A0">
      <w:pPr>
        <w:autoSpaceDE w:val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ПОРЯДОК</w:t>
      </w:r>
    </w:p>
    <w:p w:rsidR="00C449A0" w:rsidRDefault="00C449A0" w:rsidP="00C449A0">
      <w:pPr>
        <w:autoSpaceDE w:val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расходования субсидии из областного бюджета бюджету городского округа Верхняя Пышма, расположенного на территории </w:t>
      </w:r>
    </w:p>
    <w:p w:rsidR="00C449A0" w:rsidRDefault="00C449A0" w:rsidP="00C449A0">
      <w:pPr>
        <w:autoSpaceDE w:val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Свердловской области, на модернизацию библиотек в части комплектования книжных фондов</w:t>
      </w:r>
    </w:p>
    <w:p w:rsidR="00C449A0" w:rsidRDefault="00C449A0" w:rsidP="00C449A0">
      <w:pPr>
        <w:autoSpaceDE w:val="0"/>
        <w:ind w:firstLine="54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C449A0" w:rsidRDefault="00C449A0" w:rsidP="00C449A0">
      <w:pPr>
        <w:pStyle w:val="a3"/>
        <w:numPr>
          <w:ilvl w:val="0"/>
          <w:numId w:val="2"/>
        </w:numPr>
        <w:tabs>
          <w:tab w:val="left" w:pos="1276"/>
        </w:tabs>
        <w:autoSpaceDE w:val="0"/>
        <w:ind w:left="0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Настоящий Порядок разработан в соответствии со </w:t>
      </w:r>
      <w:hyperlink r:id="rId5" w:history="1">
        <w:r>
          <w:rPr>
            <w:rFonts w:ascii="Liberation Serif" w:eastAsia="Calibri" w:hAnsi="Liberation Serif" w:cs="Liberation Serif"/>
            <w:sz w:val="28"/>
            <w:szCs w:val="28"/>
            <w:lang w:eastAsia="en-US"/>
          </w:rPr>
          <w:t xml:space="preserve">статьей </w:t>
        </w:r>
        <w:r>
          <w:rPr>
            <w:rFonts w:ascii="Liberation Serif" w:eastAsia="Calibri" w:hAnsi="Liberation Serif" w:cs="Liberation Serif"/>
            <w:sz w:val="28"/>
            <w:szCs w:val="28"/>
            <w:lang w:eastAsia="en-US"/>
          </w:rPr>
          <w:br/>
          <w:t>139.1</w:t>
        </w:r>
      </w:hyperlink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Бюджетного кодекса Российской Федерации, </w:t>
      </w:r>
      <w:hyperlink r:id="rId6" w:history="1">
        <w:r>
          <w:rPr>
            <w:rFonts w:ascii="Liberation Serif" w:eastAsia="Calibri" w:hAnsi="Liberation Serif" w:cs="Liberation Serif"/>
            <w:sz w:val="28"/>
            <w:szCs w:val="28"/>
            <w:lang w:eastAsia="en-US"/>
          </w:rPr>
          <w:t>Порядком</w:t>
        </w:r>
      </w:hyperlink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предоставления и распределения субсидий из областного бюджета бюджетам муниципальных образований, расположенных на территории Свердловской области, на модернизацию библиотек в части комплектования книжных фондов, приведенным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в приложении № 5 к государственной программе Свердловской области «Развитие культуры в Свердловской области»,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br/>
        <w:t xml:space="preserve">утвержденной постановлением Правительства Свердловской области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br/>
        <w:t>от 21.10.2013 № 1268-ПП.</w:t>
      </w:r>
    </w:p>
    <w:p w:rsidR="00C449A0" w:rsidRDefault="00C449A0" w:rsidP="00C449A0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Порядок определяет условия расходования средств, поступивших в бюджет городского округа Верхняя Пышма в форме субсидии из областного бюджета на условиях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софинансирования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из федерального бюджета бюджету городского округа Верхняя Пышма, расположенного на территории Свердловской области, на модернизацию библиотек в части комплектования книжных фондов.</w:t>
      </w:r>
    </w:p>
    <w:p w:rsidR="00C449A0" w:rsidRDefault="00C449A0" w:rsidP="00C449A0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Главным администратором доходов и главным распорядителем бюджетных средств городского округа Верхняя Пышма является Администрация городского округа Верхняя Пышма. Администратором доходов и получателем бюджетных средств городского округа Верхняя Пышма является муниципальное казенное учреждение «Управление культуры городского округа Верхняя Пышма» (далее – Управление культуры).</w:t>
      </w:r>
    </w:p>
    <w:p w:rsidR="00C449A0" w:rsidRDefault="00C449A0" w:rsidP="00C449A0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Средства, выделенные из областного бюджета в форме субсидии, в целях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софинансирования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которых предоставляется субсидия подлежат зачислению в доход Управления культуры по коду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доходов 90120225519040000150 и расходованию по разделу 0800 «Культура, кинематография», подразделу 0801 «Культура», </w:t>
      </w:r>
      <w:r>
        <w:rPr>
          <w:rFonts w:ascii="Liberation Serif" w:hAnsi="Liberation Serif" w:cs="Liberation Serif"/>
          <w:sz w:val="28"/>
          <w:szCs w:val="28"/>
        </w:rPr>
        <w:t xml:space="preserve">целевой статье 05401L5190, аналитическому коду 2655190X232780000000 на модернизацию библиотек в части комплектования книжных фондов на условиях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софинансирования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из федерального бюджета в целях достижения результатов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государственной </w:t>
      </w:r>
      <w:hyperlink r:id="rId7" w:history="1">
        <w:r>
          <w:rPr>
            <w:rFonts w:ascii="Liberation Serif" w:hAnsi="Liberation Serif" w:cs="Liberation Serif"/>
            <w:color w:val="000000"/>
            <w:sz w:val="28"/>
            <w:szCs w:val="28"/>
          </w:rPr>
          <w:t>программы</w:t>
        </w:r>
      </w:hyperlink>
      <w:r>
        <w:rPr>
          <w:rFonts w:ascii="Liberation Serif" w:hAnsi="Liberation Serif" w:cs="Liberation Serif"/>
          <w:color w:val="000000"/>
          <w:sz w:val="28"/>
          <w:szCs w:val="28"/>
        </w:rPr>
        <w:t xml:space="preserve"> Российской Федерации от 15.04.2014 № 317 «Об утверждении государственной программы Российской Федерации «Развитие культуры», </w:t>
      </w:r>
      <w:r>
        <w:rPr>
          <w:rFonts w:ascii="Liberation Serif" w:hAnsi="Liberation Serif" w:cs="Liberation Serif"/>
          <w:sz w:val="28"/>
          <w:szCs w:val="28"/>
        </w:rPr>
        <w:t xml:space="preserve">и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результатов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государственной </w:t>
      </w:r>
      <w:hyperlink r:id="rId8" w:history="1">
        <w:r>
          <w:rPr>
            <w:rFonts w:ascii="Liberation Serif" w:hAnsi="Liberation Serif" w:cs="Liberation Serif"/>
            <w:color w:val="000000"/>
            <w:sz w:val="28"/>
            <w:szCs w:val="28"/>
          </w:rPr>
          <w:t>программы</w:t>
        </w:r>
      </w:hyperlink>
      <w:r>
        <w:rPr>
          <w:rFonts w:ascii="Liberation Serif" w:hAnsi="Liberation Serif" w:cs="Liberation Serif"/>
          <w:color w:val="000000"/>
          <w:sz w:val="28"/>
          <w:szCs w:val="28"/>
        </w:rPr>
        <w:t xml:space="preserve"> Свердловской области «Развитие культуры в Свердловской области до 2030 года», утвержденной </w:t>
      </w:r>
      <w:r>
        <w:rPr>
          <w:rFonts w:ascii="Liberation Serif" w:hAnsi="Liberation Serif" w:cs="Liberation Serif"/>
          <w:sz w:val="28"/>
          <w:szCs w:val="28"/>
        </w:rPr>
        <w:t>Постановлением Правительства Свердловской области от 21.10.2013 № 1268-ПП.</w:t>
      </w:r>
    </w:p>
    <w:p w:rsidR="00C449A0" w:rsidRDefault="00C449A0" w:rsidP="00C449A0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Средства направляются для финансирования подведомственных учреждений Управления культуры в виде субсидий на основании соглашений, в пределах утвержденных бюджетных ассигнований и лимитов бюджетных обязательств на указанные цели.</w:t>
      </w:r>
    </w:p>
    <w:p w:rsidR="00C449A0" w:rsidRDefault="00C449A0" w:rsidP="00C449A0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Управление культуры представляет отчеты в Министерство культуры Свердловской области по формам, установленным в соглашении:</w:t>
      </w:r>
    </w:p>
    <w:p w:rsidR="00C449A0" w:rsidRDefault="00C449A0" w:rsidP="00C449A0">
      <w:pPr>
        <w:pStyle w:val="a3"/>
        <w:widowControl w:val="0"/>
        <w:numPr>
          <w:ilvl w:val="1"/>
          <w:numId w:val="3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ежеквартальный отчет об использовании субсидии, предоставленной бюджету городского округа Верхняя Пышма, – не позднее 10 числа месяца, следующего за отчетным кварталом;</w:t>
      </w:r>
    </w:p>
    <w:p w:rsidR="00C449A0" w:rsidRDefault="00C449A0" w:rsidP="00C449A0">
      <w:pPr>
        <w:pStyle w:val="a3"/>
        <w:widowControl w:val="0"/>
        <w:numPr>
          <w:ilvl w:val="1"/>
          <w:numId w:val="3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итоговый отчет об использовании субсидии, предоставленной бюджету городского округа Верхняя Пышма, – не позднее 15 января года, следующего за отчетным годом;</w:t>
      </w:r>
    </w:p>
    <w:p w:rsidR="00C449A0" w:rsidRDefault="00C449A0" w:rsidP="00C449A0">
      <w:pPr>
        <w:pStyle w:val="a3"/>
        <w:widowControl w:val="0"/>
        <w:numPr>
          <w:ilvl w:val="1"/>
          <w:numId w:val="3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итоговый отчет о достижении результата (результатов) использования субсидии – не позднее 15 января года, следующего за отчетным годом.</w:t>
      </w:r>
    </w:p>
    <w:p w:rsidR="00C449A0" w:rsidRDefault="00C449A0" w:rsidP="00C449A0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Средства, полученные из областного бюджета в форме субсидий, носят целевой характер и не могут быть использованы на иные цели.</w:t>
      </w:r>
    </w:p>
    <w:p w:rsidR="00C449A0" w:rsidRDefault="00C449A0" w:rsidP="00C449A0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Несоблюдение условий предоставления субсидии и нецелевое использование бюджетных средств влекут применение мер ответственности, предусмотренных административным и бюджетным законодательством Российской Федерации.</w:t>
      </w:r>
    </w:p>
    <w:p w:rsidR="00C449A0" w:rsidRDefault="00C449A0" w:rsidP="00C449A0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Ответственность за нецелевое использование бюджетных средств несет Управление культуры в соответствии с установленными полномочиями.</w:t>
      </w:r>
    </w:p>
    <w:p w:rsidR="00C449A0" w:rsidRDefault="00C449A0" w:rsidP="00C449A0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Контроль за целевым использованием бюджетных средств осуществляет Администрация городского округа Верхняя Пышма и Финансовое управление Администрации городского округа Верхняя Пышма. </w:t>
      </w:r>
    </w:p>
    <w:p w:rsidR="00D52DF9" w:rsidRDefault="00D52DF9"/>
    <w:sectPr w:rsidR="00D52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E7532"/>
    <w:multiLevelType w:val="multilevel"/>
    <w:tmpl w:val="B816B866"/>
    <w:lvl w:ilvl="0">
      <w:start w:val="1"/>
      <w:numFmt w:val="decimal"/>
      <w:lvlText w:val="%1."/>
      <w:lvlJc w:val="left"/>
      <w:pPr>
        <w:ind w:left="1069" w:hanging="360"/>
      </w:pPr>
      <w:rPr>
        <w:rFonts w:ascii="Liberation Serif" w:hAnsi="Liberation Serif" w:cs="Liberation Serif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0007BA"/>
    <w:multiLevelType w:val="multilevel"/>
    <w:tmpl w:val="329E4ABE"/>
    <w:lvl w:ilvl="0">
      <w:start w:val="1"/>
      <w:numFmt w:val="decimal"/>
      <w:lvlText w:val="%1."/>
      <w:lvlJc w:val="left"/>
      <w:pPr>
        <w:ind w:left="1234" w:hanging="525"/>
      </w:pPr>
      <w:rPr>
        <w:rFonts w:ascii="Liberation Serif" w:eastAsia="Calibri" w:hAnsi="Liberation Serif" w:cs="Liberation Serif"/>
        <w:sz w:val="28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2" w15:restartNumberingAfterBreak="0">
    <w:nsid w:val="6B527EB0"/>
    <w:multiLevelType w:val="multilevel"/>
    <w:tmpl w:val="CE681BA0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decimal"/>
      <w:lvlText w:val="%2)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BC7"/>
    <w:rsid w:val="00656BC7"/>
    <w:rsid w:val="00C449A0"/>
    <w:rsid w:val="00D5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3DA08-7E77-4E9B-A01F-C8065DBD7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9A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449A0"/>
    <w:pPr>
      <w:ind w:left="720"/>
    </w:pPr>
  </w:style>
  <w:style w:type="paragraph" w:customStyle="1" w:styleId="ConsNormal">
    <w:name w:val="ConsNormal"/>
    <w:rsid w:val="00C449A0"/>
    <w:pPr>
      <w:widowControl w:val="0"/>
      <w:suppressAutoHyphens/>
      <w:autoSpaceDN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C449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1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1&amp;n=418896&amp;dst=21649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71&amp;n=418896&amp;dst=2164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071&amp;n=418896&amp;dst=227962" TargetMode="External"/><Relationship Id="rId5" Type="http://schemas.openxmlformats.org/officeDocument/2006/relationships/hyperlink" Target="https://login.consultant.ru/link/?req=doc&amp;base=LAW&amp;n=495710&amp;dst=213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891</Words>
  <Characters>5084</Characters>
  <Application>Microsoft Office Word</Application>
  <DocSecurity>0</DocSecurity>
  <Lines>42</Lines>
  <Paragraphs>11</Paragraphs>
  <ScaleCrop>false</ScaleCrop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2026-05-14T12:47:00Z</dcterms:created>
  <dcterms:modified xsi:type="dcterms:W3CDTF">2026-05-14T12:47:00Z</dcterms:modified>
</cp:coreProperties>
</file>