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Layout w:type="fixed"/>
        <w:tblCellMar>
          <w:left w:w="10" w:type="dxa"/>
          <w:right w:w="10" w:type="dxa"/>
        </w:tblCellMar>
        <w:tblLook w:val="0000" w:firstRow="0" w:lastRow="0" w:firstColumn="0" w:lastColumn="0" w:noHBand="0" w:noVBand="0"/>
      </w:tblPr>
      <w:tblGrid>
        <w:gridCol w:w="285"/>
        <w:gridCol w:w="1848"/>
        <w:gridCol w:w="426"/>
        <w:gridCol w:w="568"/>
        <w:gridCol w:w="6358"/>
      </w:tblGrid>
      <w:tr w:rsidR="001074BA" w14:paraId="1D59CFDC" w14:textId="77777777" w:rsidTr="00BE6B0E">
        <w:tblPrEx>
          <w:tblCellMar>
            <w:top w:w="0" w:type="dxa"/>
            <w:bottom w:w="0" w:type="dxa"/>
          </w:tblCellMar>
        </w:tblPrEx>
        <w:trPr>
          <w:trHeight w:val="524"/>
        </w:trPr>
        <w:tc>
          <w:tcPr>
            <w:tcW w:w="9485" w:type="dxa"/>
            <w:gridSpan w:val="5"/>
            <w:shd w:val="clear" w:color="auto" w:fill="auto"/>
            <w:tcMar>
              <w:top w:w="0" w:type="dxa"/>
              <w:left w:w="0" w:type="dxa"/>
              <w:bottom w:w="0" w:type="dxa"/>
              <w:right w:w="0" w:type="dxa"/>
            </w:tcMar>
          </w:tcPr>
          <w:p w14:paraId="2663F207" w14:textId="77777777" w:rsidR="001074BA" w:rsidRDefault="001074BA" w:rsidP="00BE6B0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14:paraId="6348C55E" w14:textId="77777777" w:rsidR="001074BA" w:rsidRDefault="001074BA" w:rsidP="00BE6B0E">
            <w:pPr>
              <w:tabs>
                <w:tab w:val="left" w:leader="underscore" w:pos="9639"/>
              </w:tabs>
              <w:jc w:val="center"/>
            </w:pPr>
            <w:r>
              <w:rPr>
                <w:rFonts w:ascii="Liberation Serif" w:hAnsi="Liberation Serif"/>
                <w:b/>
                <w:sz w:val="28"/>
                <w:szCs w:val="28"/>
              </w:rPr>
              <w:t>Верхняя Пышма</w:t>
            </w:r>
          </w:p>
          <w:p w14:paraId="79C88448" w14:textId="77777777" w:rsidR="001074BA" w:rsidRDefault="001074BA" w:rsidP="00BE6B0E">
            <w:pPr>
              <w:jc w:val="center"/>
            </w:pPr>
            <w:r>
              <w:rPr>
                <w:rFonts w:ascii="Liberation Serif" w:hAnsi="Liberation Serif"/>
                <w:b/>
                <w:spacing w:val="40"/>
                <w:sz w:val="32"/>
                <w:szCs w:val="34"/>
              </w:rPr>
              <w:t>ПОСТАНОВЛЕНИЕ</w:t>
            </w:r>
          </w:p>
          <w:p w14:paraId="1C87B5E5" w14:textId="77777777" w:rsidR="001074BA" w:rsidRDefault="001074BA" w:rsidP="00BE6B0E">
            <w:pPr>
              <w:jc w:val="center"/>
            </w:pPr>
            <w:r>
              <w:rPr>
                <w:rFonts w:ascii="Liberation Serif" w:hAnsi="Liberation Serif"/>
                <w:b/>
                <w:noProof/>
                <w:sz w:val="34"/>
                <w:szCs w:val="34"/>
              </w:rPr>
              <mc:AlternateContent>
                <mc:Choice Requires="wps">
                  <w:drawing>
                    <wp:anchor distT="0" distB="0" distL="114300" distR="114300" simplePos="0" relativeHeight="251659264" behindDoc="0" locked="0" layoutInCell="1" allowOverlap="1" wp14:anchorId="44505B9A" wp14:editId="59D6E99A">
                      <wp:simplePos x="0" y="0"/>
                      <wp:positionH relativeFrom="column">
                        <wp:posOffset>267974</wp:posOffset>
                      </wp:positionH>
                      <wp:positionV relativeFrom="paragraph">
                        <wp:posOffset>46991</wp:posOffset>
                      </wp:positionV>
                      <wp:extent cx="5760089" cy="0"/>
                      <wp:effectExtent l="0" t="19050" r="12061" b="19050"/>
                      <wp:wrapNone/>
                      <wp:docPr id="2" name="Line 3"/>
                      <wp:cNvGraphicFramePr/>
                      <a:graphic xmlns:a="http://schemas.openxmlformats.org/drawingml/2006/main">
                        <a:graphicData uri="http://schemas.microsoft.com/office/word/2010/wordprocessingShape">
                          <wps:wsp>
                            <wps:cNvSpPr/>
                            <wps:spPr>
                              <a:xfrm>
                                <a:off x="0" y="0"/>
                                <a:ext cx="5760089"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8103" cap="flat">
                                <a:solidFill>
                                  <a:srgbClr val="000000"/>
                                </a:solidFill>
                                <a:prstDash val="solid"/>
                                <a:round/>
                              </a:ln>
                            </wps:spPr>
                            <wps:bodyPr lIns="0" tIns="0" rIns="0" bIns="0"/>
                          </wps:wsp>
                        </a:graphicData>
                      </a:graphic>
                    </wp:anchor>
                  </w:drawing>
                </mc:Choice>
                <mc:Fallback>
                  <w:pict>
                    <v:shape w14:anchorId="5B32BC04" id="Line 3" o:spid="_x0000_s1026" style="position:absolute;margin-left:21.1pt;margin-top:3.7pt;width:453.5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760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" path="m,l5760089,1e" filled="f" strokeweight="1.0584mm">
                      <v:path arrowok="t" o:connecttype="custom" o:connectlocs="2880045,0;5760089,1;2880045,1;0,1;0,0;5760089,1" o:connectangles="270,0,90,180,90,270" textboxrect="0,0,5760089,0"/>
                    </v:shape>
                  </w:pict>
                </mc:Fallback>
              </mc:AlternateContent>
            </w:r>
          </w:p>
        </w:tc>
      </w:tr>
      <w:tr w:rsidR="001074BA" w14:paraId="530F5AF3" w14:textId="77777777" w:rsidTr="00BE6B0E">
        <w:tblPrEx>
          <w:tblCellMar>
            <w:top w:w="0" w:type="dxa"/>
            <w:bottom w:w="0" w:type="dxa"/>
          </w:tblCellMar>
        </w:tblPrEx>
        <w:trPr>
          <w:trHeight w:val="524"/>
        </w:trPr>
        <w:tc>
          <w:tcPr>
            <w:tcW w:w="285" w:type="dxa"/>
            <w:shd w:val="clear" w:color="auto" w:fill="auto"/>
            <w:tcMar>
              <w:top w:w="0" w:type="dxa"/>
              <w:left w:w="0" w:type="dxa"/>
              <w:bottom w:w="0" w:type="dxa"/>
              <w:right w:w="0" w:type="dxa"/>
            </w:tcMar>
            <w:vAlign w:val="bottom"/>
          </w:tcPr>
          <w:p w14:paraId="1987F135" w14:textId="77777777" w:rsidR="001074BA" w:rsidRDefault="001074BA" w:rsidP="00BE6B0E">
            <w:pPr>
              <w:tabs>
                <w:tab w:val="left" w:leader="underscore" w:pos="9639"/>
              </w:tabs>
              <w:rPr>
                <w:rFonts w:ascii="Liberation Serif" w:hAnsi="Liberation Serif"/>
                <w:szCs w:val="28"/>
              </w:rPr>
            </w:pPr>
            <w:r>
              <w:rPr>
                <w:rFonts w:ascii="Liberation Serif" w:hAnsi="Liberation Serif"/>
                <w:szCs w:val="28"/>
              </w:rPr>
              <w:t>от</w:t>
            </w:r>
          </w:p>
        </w:tc>
        <w:tc>
          <w:tcPr>
            <w:tcW w:w="1848" w:type="dxa"/>
            <w:tcBorders>
              <w:bottom w:val="single" w:sz="4" w:space="0" w:color="000000"/>
            </w:tcBorders>
            <w:shd w:val="clear" w:color="auto" w:fill="auto"/>
            <w:tcMar>
              <w:top w:w="0" w:type="dxa"/>
              <w:left w:w="0" w:type="dxa"/>
              <w:bottom w:w="0" w:type="dxa"/>
              <w:right w:w="0" w:type="dxa"/>
            </w:tcMar>
            <w:vAlign w:val="bottom"/>
          </w:tcPr>
          <w:p w14:paraId="0F3D4045" w14:textId="77777777" w:rsidR="001074BA" w:rsidRDefault="001074BA" w:rsidP="00BE6B0E">
            <w:pPr>
              <w:tabs>
                <w:tab w:val="left" w:leader="underscore" w:pos="9639"/>
              </w:tabs>
              <w:jc w:val="center"/>
            </w:pPr>
            <w:bookmarkStart w:id="0" w:name="Регдата"/>
            <w:bookmarkEnd w:id="0"/>
          </w:p>
        </w:tc>
        <w:tc>
          <w:tcPr>
            <w:tcW w:w="426" w:type="dxa"/>
            <w:shd w:val="clear" w:color="auto" w:fill="auto"/>
            <w:tcMar>
              <w:top w:w="0" w:type="dxa"/>
              <w:left w:w="0" w:type="dxa"/>
              <w:bottom w:w="0" w:type="dxa"/>
              <w:right w:w="0" w:type="dxa"/>
            </w:tcMar>
            <w:vAlign w:val="bottom"/>
          </w:tcPr>
          <w:p w14:paraId="3BD74B84" w14:textId="77777777" w:rsidR="001074BA" w:rsidRDefault="001074BA" w:rsidP="00BE6B0E">
            <w:pPr>
              <w:tabs>
                <w:tab w:val="left" w:leader="underscore" w:pos="9639"/>
              </w:tabs>
              <w:jc w:val="center"/>
            </w:pPr>
            <w:r>
              <w:rPr>
                <w:rFonts w:ascii="Liberation Serif" w:hAnsi="Liberation Serif"/>
                <w:szCs w:val="28"/>
              </w:rPr>
              <w:t>№</w:t>
            </w:r>
          </w:p>
        </w:tc>
        <w:tc>
          <w:tcPr>
            <w:tcW w:w="568" w:type="dxa"/>
            <w:tcBorders>
              <w:bottom w:val="single" w:sz="4" w:space="0" w:color="000000"/>
            </w:tcBorders>
            <w:shd w:val="clear" w:color="auto" w:fill="auto"/>
            <w:tcMar>
              <w:top w:w="0" w:type="dxa"/>
              <w:left w:w="0" w:type="dxa"/>
              <w:bottom w:w="0" w:type="dxa"/>
              <w:right w:w="0" w:type="dxa"/>
            </w:tcMar>
            <w:vAlign w:val="bottom"/>
          </w:tcPr>
          <w:p w14:paraId="4D78E67C" w14:textId="77777777" w:rsidR="001074BA" w:rsidRDefault="001074BA" w:rsidP="00BE6B0E">
            <w:pPr>
              <w:tabs>
                <w:tab w:val="left" w:leader="underscore" w:pos="9639"/>
              </w:tabs>
              <w:jc w:val="center"/>
            </w:pPr>
            <w:bookmarkStart w:id="1" w:name="Регномер"/>
            <w:bookmarkEnd w:id="1"/>
          </w:p>
        </w:tc>
        <w:tc>
          <w:tcPr>
            <w:tcW w:w="6358" w:type="dxa"/>
            <w:shd w:val="clear" w:color="auto" w:fill="auto"/>
            <w:tcMar>
              <w:top w:w="0" w:type="dxa"/>
              <w:left w:w="0" w:type="dxa"/>
              <w:bottom w:w="0" w:type="dxa"/>
              <w:right w:w="0" w:type="dxa"/>
            </w:tcMar>
            <w:vAlign w:val="bottom"/>
          </w:tcPr>
          <w:p w14:paraId="322F1397" w14:textId="77777777" w:rsidR="001074BA" w:rsidRDefault="001074BA" w:rsidP="00BE6B0E">
            <w:pPr>
              <w:tabs>
                <w:tab w:val="left" w:leader="underscore" w:pos="9639"/>
              </w:tabs>
              <w:jc w:val="center"/>
              <w:rPr>
                <w:rFonts w:ascii="Liberation Serif" w:hAnsi="Liberation Serif"/>
                <w:b/>
                <w:szCs w:val="28"/>
              </w:rPr>
            </w:pPr>
            <w:r>
              <w:rPr>
                <w:rFonts w:ascii="Liberation Serif" w:hAnsi="Liberation Serif"/>
                <w:b/>
                <w:szCs w:val="28"/>
              </w:rPr>
              <w:t xml:space="preserve"> </w:t>
            </w:r>
          </w:p>
        </w:tc>
      </w:tr>
      <w:tr w:rsidR="001074BA" w14:paraId="0115717A" w14:textId="77777777" w:rsidTr="00BE6B0E">
        <w:tblPrEx>
          <w:tblCellMar>
            <w:top w:w="0" w:type="dxa"/>
            <w:bottom w:w="0" w:type="dxa"/>
          </w:tblCellMar>
        </w:tblPrEx>
        <w:trPr>
          <w:trHeight w:val="130"/>
        </w:trPr>
        <w:tc>
          <w:tcPr>
            <w:tcW w:w="9485" w:type="dxa"/>
            <w:gridSpan w:val="5"/>
            <w:shd w:val="clear" w:color="auto" w:fill="auto"/>
            <w:tcMar>
              <w:top w:w="0" w:type="dxa"/>
              <w:left w:w="0" w:type="dxa"/>
              <w:bottom w:w="0" w:type="dxa"/>
              <w:right w:w="0" w:type="dxa"/>
            </w:tcMar>
          </w:tcPr>
          <w:p w14:paraId="0F2106FB" w14:textId="77777777" w:rsidR="001074BA" w:rsidRDefault="001074BA" w:rsidP="00BE6B0E">
            <w:pPr>
              <w:rPr>
                <w:rFonts w:ascii="Liberation Serif" w:hAnsi="Liberation Serif"/>
                <w:sz w:val="20"/>
                <w:szCs w:val="28"/>
              </w:rPr>
            </w:pPr>
          </w:p>
        </w:tc>
      </w:tr>
      <w:tr w:rsidR="001074BA" w14:paraId="1D9BE0E1" w14:textId="77777777" w:rsidTr="00BE6B0E">
        <w:tblPrEx>
          <w:tblCellMar>
            <w:top w:w="0" w:type="dxa"/>
            <w:bottom w:w="0" w:type="dxa"/>
          </w:tblCellMar>
        </w:tblPrEx>
        <w:tc>
          <w:tcPr>
            <w:tcW w:w="9485" w:type="dxa"/>
            <w:gridSpan w:val="5"/>
            <w:shd w:val="clear" w:color="auto" w:fill="auto"/>
            <w:tcMar>
              <w:top w:w="0" w:type="dxa"/>
              <w:left w:w="0" w:type="dxa"/>
              <w:bottom w:w="0" w:type="dxa"/>
              <w:right w:w="0" w:type="dxa"/>
            </w:tcMar>
          </w:tcPr>
          <w:p w14:paraId="2EAF01D4" w14:textId="77777777" w:rsidR="001074BA" w:rsidRDefault="001074BA" w:rsidP="00BE6B0E">
            <w:r>
              <w:rPr>
                <w:rFonts w:ascii="Liberation Serif" w:hAnsi="Liberation Serif"/>
                <w:sz w:val="26"/>
                <w:szCs w:val="26"/>
              </w:rPr>
              <w:t>г. Верхняя Пышма</w:t>
            </w:r>
          </w:p>
          <w:p w14:paraId="0AE5F7D0" w14:textId="77777777" w:rsidR="001074BA" w:rsidRDefault="001074BA" w:rsidP="00BE6B0E">
            <w:pPr>
              <w:rPr>
                <w:rFonts w:ascii="Liberation Serif" w:hAnsi="Liberation Serif"/>
                <w:sz w:val="26"/>
                <w:szCs w:val="26"/>
                <w:lang w:val="en-US"/>
              </w:rPr>
            </w:pPr>
          </w:p>
          <w:p w14:paraId="3360A4B7" w14:textId="77777777" w:rsidR="001074BA" w:rsidRDefault="001074BA" w:rsidP="00BE6B0E">
            <w:pPr>
              <w:rPr>
                <w:rFonts w:ascii="Liberation Serif" w:hAnsi="Liberation Serif"/>
                <w:sz w:val="26"/>
                <w:szCs w:val="26"/>
                <w:lang w:val="en-US"/>
              </w:rPr>
            </w:pPr>
          </w:p>
        </w:tc>
      </w:tr>
      <w:tr w:rsidR="001074BA" w14:paraId="53A0B2B0" w14:textId="77777777" w:rsidTr="00BE6B0E">
        <w:tblPrEx>
          <w:tblCellMar>
            <w:top w:w="0" w:type="dxa"/>
            <w:bottom w:w="0" w:type="dxa"/>
          </w:tblCellMar>
        </w:tblPrEx>
        <w:tc>
          <w:tcPr>
            <w:tcW w:w="9485" w:type="dxa"/>
            <w:gridSpan w:val="5"/>
            <w:shd w:val="clear" w:color="auto" w:fill="auto"/>
            <w:tcMar>
              <w:top w:w="0" w:type="dxa"/>
              <w:left w:w="0" w:type="dxa"/>
              <w:bottom w:w="0" w:type="dxa"/>
              <w:right w:w="0" w:type="dxa"/>
            </w:tcMar>
          </w:tcPr>
          <w:p w14:paraId="000ED226" w14:textId="77777777" w:rsidR="001074BA" w:rsidRDefault="001074BA" w:rsidP="00BE6B0E">
            <w:pPr>
              <w:jc w:val="center"/>
              <w:rPr>
                <w:rFonts w:ascii="Liberation Serif" w:hAnsi="Liberation Serif"/>
                <w:b/>
                <w:i/>
                <w:sz w:val="26"/>
                <w:szCs w:val="26"/>
              </w:rPr>
            </w:pPr>
            <w:bookmarkStart w:id="2" w:name="_GoBack"/>
            <w:r>
              <w:rPr>
                <w:rFonts w:ascii="Liberation Serif" w:hAnsi="Liberation Serif"/>
                <w:b/>
                <w:i/>
                <w:sz w:val="26"/>
                <w:szCs w:val="26"/>
              </w:rPr>
              <w:t xml:space="preserve">Об утверждении Порядка расходования субсидий, предоставленных из областного бюджета бюджету </w:t>
            </w:r>
            <w:bookmarkEnd w:id="2"/>
            <w:r>
              <w:rPr>
                <w:rFonts w:ascii="Liberation Serif" w:hAnsi="Liberation Serif"/>
                <w:b/>
                <w:i/>
                <w:sz w:val="26"/>
                <w:szCs w:val="26"/>
              </w:rPr>
              <w:t>городского округа Верхняя Пышма, на предоставление социальных выплат молодым семьям на приобретение (строительство) жилья на территории городского округа Верхняя Пышма</w:t>
            </w:r>
          </w:p>
        </w:tc>
      </w:tr>
      <w:tr w:rsidR="001074BA" w14:paraId="68A2341A" w14:textId="77777777" w:rsidTr="00BE6B0E">
        <w:tblPrEx>
          <w:tblCellMar>
            <w:top w:w="0" w:type="dxa"/>
            <w:bottom w:w="0" w:type="dxa"/>
          </w:tblCellMar>
        </w:tblPrEx>
        <w:tc>
          <w:tcPr>
            <w:tcW w:w="9485" w:type="dxa"/>
            <w:gridSpan w:val="5"/>
            <w:shd w:val="clear" w:color="auto" w:fill="auto"/>
            <w:tcMar>
              <w:top w:w="0" w:type="dxa"/>
              <w:left w:w="0" w:type="dxa"/>
              <w:bottom w:w="0" w:type="dxa"/>
              <w:right w:w="0" w:type="dxa"/>
            </w:tcMar>
          </w:tcPr>
          <w:p w14:paraId="56F3F8F2" w14:textId="77777777" w:rsidR="001074BA" w:rsidRDefault="001074BA" w:rsidP="00BE6B0E">
            <w:pPr>
              <w:jc w:val="center"/>
              <w:rPr>
                <w:rFonts w:ascii="Liberation Serif" w:hAnsi="Liberation Serif"/>
                <w:sz w:val="26"/>
                <w:szCs w:val="26"/>
              </w:rPr>
            </w:pPr>
          </w:p>
        </w:tc>
      </w:tr>
    </w:tbl>
    <w:p w14:paraId="31B5C1A2" w14:textId="77777777" w:rsidR="001074BA" w:rsidRDefault="001074BA" w:rsidP="001074BA">
      <w:pPr>
        <w:widowControl w:val="0"/>
        <w:ind w:firstLine="709"/>
        <w:jc w:val="both"/>
      </w:pPr>
      <w:r>
        <w:rPr>
          <w:rFonts w:ascii="Liberation Serif" w:hAnsi="Liberation Serif"/>
          <w:sz w:val="26"/>
          <w:szCs w:val="26"/>
        </w:rPr>
        <w:t xml:space="preserve">В соответствии со статьей 78 Бюджетного кодекса Российской Федерации, Законом Свердловской области от 15 июля 2005 года № 70-ОЗ «Об отдельных межбюджетных трансфертах, предоставляемых из областного бюджета </w:t>
      </w:r>
      <w:r>
        <w:rPr>
          <w:rFonts w:ascii="Liberation Serif" w:hAnsi="Liberation Serif"/>
          <w:sz w:val="26"/>
          <w:szCs w:val="26"/>
        </w:rPr>
        <w:br/>
        <w:t xml:space="preserve">и местных бюджетов в Свердловской области», пунктом 34 части 1 статьи 6 Устава городского округа Верхняя Пышма Свердловской области Администрация городского округа Верхняя Пышма </w:t>
      </w:r>
    </w:p>
    <w:p w14:paraId="24D224D1" w14:textId="77777777" w:rsidR="001074BA" w:rsidRDefault="001074BA" w:rsidP="001074BA">
      <w:pPr>
        <w:widowControl w:val="0"/>
        <w:jc w:val="both"/>
        <w:rPr>
          <w:rFonts w:ascii="Liberation Serif" w:hAnsi="Liberation Serif"/>
          <w:b/>
          <w:bCs/>
          <w:sz w:val="26"/>
          <w:szCs w:val="26"/>
        </w:rPr>
      </w:pPr>
      <w:r>
        <w:rPr>
          <w:rFonts w:ascii="Liberation Serif" w:hAnsi="Liberation Serif"/>
          <w:b/>
          <w:bCs/>
          <w:sz w:val="26"/>
          <w:szCs w:val="26"/>
        </w:rPr>
        <w:t>ПОСТАНОВЛЯЕТ:</w:t>
      </w:r>
    </w:p>
    <w:p w14:paraId="2CDB2BE9" w14:textId="77777777" w:rsidR="001074BA" w:rsidRDefault="001074BA" w:rsidP="001074BA">
      <w:pPr>
        <w:pStyle w:val="a7"/>
        <w:widowControl w:val="0"/>
        <w:numPr>
          <w:ilvl w:val="0"/>
          <w:numId w:val="1"/>
        </w:numPr>
        <w:ind w:left="0" w:firstLine="709"/>
        <w:jc w:val="both"/>
        <w:rPr>
          <w:rFonts w:ascii="Liberation Serif" w:hAnsi="Liberation Serif"/>
          <w:sz w:val="26"/>
          <w:szCs w:val="26"/>
        </w:rPr>
      </w:pPr>
      <w:r>
        <w:rPr>
          <w:rFonts w:ascii="Liberation Serif" w:hAnsi="Liberation Serif"/>
          <w:sz w:val="26"/>
          <w:szCs w:val="26"/>
        </w:rPr>
        <w:t>Утвердить Порядок расходования субсидий, предоставленных из областного бюджета бюджету городского округа Верхняя Пышма на предоставление социальных выплат молодым семьям на приобретение (строительство) жилья на территории городского округа Верхняя Пышма (прилагается).</w:t>
      </w:r>
    </w:p>
    <w:p w14:paraId="6F305625" w14:textId="77777777" w:rsidR="001074BA" w:rsidRDefault="001074BA" w:rsidP="001074BA">
      <w:pPr>
        <w:pStyle w:val="a7"/>
        <w:widowControl w:val="0"/>
        <w:numPr>
          <w:ilvl w:val="0"/>
          <w:numId w:val="1"/>
        </w:numPr>
        <w:ind w:left="0" w:firstLine="709"/>
        <w:jc w:val="both"/>
        <w:rPr>
          <w:rFonts w:ascii="Liberation Serif" w:hAnsi="Liberation Serif"/>
          <w:sz w:val="26"/>
          <w:szCs w:val="26"/>
        </w:rPr>
      </w:pPr>
      <w:r>
        <w:rPr>
          <w:rFonts w:ascii="Liberation Serif" w:hAnsi="Liberation Serif"/>
          <w:sz w:val="26"/>
          <w:szCs w:val="26"/>
        </w:rPr>
        <w:t>Признать утратившим силу постановление администрации городского округа Верхняя Пышма от 15.06.2020 № 482 «Об утверждении порядка расходования субсидий, предоставленных из областного бюджета бюджету городского округа Верхняя Пышма, на предоставление социальных выплат молодым семьям на приобретение (строительство) жилья на территории городского округа Верхняя Пышма».</w:t>
      </w:r>
    </w:p>
    <w:p w14:paraId="2C65B4BE" w14:textId="77777777" w:rsidR="001074BA" w:rsidRDefault="001074BA" w:rsidP="001074BA">
      <w:pPr>
        <w:widowControl w:val="0"/>
        <w:ind w:firstLine="709"/>
        <w:jc w:val="both"/>
        <w:rPr>
          <w:rFonts w:ascii="Liberation Serif" w:hAnsi="Liberation Serif"/>
          <w:sz w:val="26"/>
          <w:szCs w:val="26"/>
        </w:rPr>
      </w:pPr>
      <w:r>
        <w:rPr>
          <w:rFonts w:ascii="Liberation Serif" w:hAnsi="Liberation Serif"/>
          <w:sz w:val="26"/>
          <w:szCs w:val="26"/>
        </w:rPr>
        <w:t>3.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Карпова Д.Г.</w:t>
      </w:r>
    </w:p>
    <w:p w14:paraId="54D394B2" w14:textId="77777777" w:rsidR="001074BA" w:rsidRDefault="001074BA" w:rsidP="001074BA">
      <w:pPr>
        <w:widowControl w:val="0"/>
        <w:ind w:firstLine="709"/>
        <w:jc w:val="both"/>
      </w:pPr>
      <w:r>
        <w:rPr>
          <w:rFonts w:ascii="Liberation Serif" w:hAnsi="Liberation Serif"/>
          <w:sz w:val="26"/>
          <w:szCs w:val="26"/>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14:paraId="53FC48EE" w14:textId="77777777" w:rsidR="001074BA" w:rsidRDefault="001074BA" w:rsidP="001074BA">
      <w:pPr>
        <w:widowControl w:val="0"/>
        <w:ind w:firstLine="709"/>
        <w:jc w:val="both"/>
        <w:rPr>
          <w:rFonts w:ascii="Liberation Serif" w:hAnsi="Liberation Serif"/>
          <w:sz w:val="26"/>
          <w:szCs w:val="26"/>
        </w:rPr>
      </w:pPr>
    </w:p>
    <w:p w14:paraId="1086AB41" w14:textId="77777777" w:rsidR="001074BA" w:rsidRDefault="001074BA" w:rsidP="001074BA">
      <w:pPr>
        <w:widowControl w:val="0"/>
        <w:ind w:firstLine="709"/>
        <w:jc w:val="both"/>
        <w:rPr>
          <w:rFonts w:ascii="Liberation Serif" w:hAnsi="Liberation Serif"/>
          <w:sz w:val="26"/>
          <w:szCs w:val="26"/>
        </w:rPr>
      </w:pPr>
    </w:p>
    <w:tbl>
      <w:tblPr>
        <w:tblW w:w="5000" w:type="pct"/>
        <w:tblLayout w:type="fixed"/>
        <w:tblCellMar>
          <w:left w:w="10" w:type="dxa"/>
          <w:right w:w="10" w:type="dxa"/>
        </w:tblCellMar>
        <w:tblLook w:val="0000" w:firstRow="0" w:lastRow="0" w:firstColumn="0" w:lastColumn="0" w:noHBand="0" w:noVBand="0"/>
      </w:tblPr>
      <w:tblGrid>
        <w:gridCol w:w="6237"/>
        <w:gridCol w:w="3344"/>
      </w:tblGrid>
      <w:tr w:rsidR="001074BA" w14:paraId="50B55E44" w14:textId="77777777" w:rsidTr="00BE6B0E">
        <w:tblPrEx>
          <w:tblCellMar>
            <w:top w:w="0" w:type="dxa"/>
            <w:bottom w:w="0" w:type="dxa"/>
          </w:tblCellMar>
        </w:tblPrEx>
        <w:tc>
          <w:tcPr>
            <w:tcW w:w="6237" w:type="dxa"/>
            <w:shd w:val="clear" w:color="auto" w:fill="auto"/>
            <w:tcMar>
              <w:top w:w="0" w:type="dxa"/>
              <w:left w:w="0" w:type="dxa"/>
              <w:bottom w:w="0" w:type="dxa"/>
              <w:right w:w="0" w:type="dxa"/>
            </w:tcMar>
            <w:vAlign w:val="bottom"/>
          </w:tcPr>
          <w:p w14:paraId="19649975" w14:textId="77777777" w:rsidR="001074BA" w:rsidRDefault="001074BA" w:rsidP="00BE6B0E">
            <w:pPr>
              <w:rPr>
                <w:rFonts w:ascii="Liberation Serif" w:hAnsi="Liberation Serif"/>
                <w:sz w:val="26"/>
                <w:szCs w:val="26"/>
              </w:rPr>
            </w:pPr>
            <w:r>
              <w:rPr>
                <w:rFonts w:ascii="Liberation Serif" w:hAnsi="Liberation Serif"/>
                <w:sz w:val="26"/>
                <w:szCs w:val="26"/>
              </w:rPr>
              <w:t>Глава городского округа</w:t>
            </w:r>
          </w:p>
        </w:tc>
        <w:tc>
          <w:tcPr>
            <w:tcW w:w="3344" w:type="dxa"/>
            <w:shd w:val="clear" w:color="auto" w:fill="auto"/>
            <w:tcMar>
              <w:top w:w="0" w:type="dxa"/>
              <w:left w:w="0" w:type="dxa"/>
              <w:bottom w:w="0" w:type="dxa"/>
              <w:right w:w="0" w:type="dxa"/>
            </w:tcMar>
            <w:vAlign w:val="bottom"/>
          </w:tcPr>
          <w:p w14:paraId="435FE3DD" w14:textId="77777777" w:rsidR="001074BA" w:rsidRDefault="001074BA" w:rsidP="00BE6B0E">
            <w:pPr>
              <w:jc w:val="right"/>
              <w:rPr>
                <w:rFonts w:ascii="Liberation Serif" w:hAnsi="Liberation Serif"/>
                <w:sz w:val="26"/>
                <w:szCs w:val="26"/>
              </w:rPr>
            </w:pPr>
            <w:r>
              <w:rPr>
                <w:rFonts w:ascii="Liberation Serif" w:hAnsi="Liberation Serif"/>
                <w:sz w:val="26"/>
                <w:szCs w:val="26"/>
              </w:rPr>
              <w:t>И.С. Зернов</w:t>
            </w:r>
          </w:p>
        </w:tc>
      </w:tr>
    </w:tbl>
    <w:p w14:paraId="58EE2D65" w14:textId="5425BDD5" w:rsidR="001074BA" w:rsidRDefault="001074BA" w:rsidP="001074BA">
      <w:pPr>
        <w:pStyle w:val="ConsNormal"/>
        <w:widowControl/>
        <w:ind w:firstLine="0"/>
        <w:rPr>
          <w:rFonts w:ascii="Liberation Serif" w:hAnsi="Liberation Serif"/>
          <w:sz w:val="26"/>
          <w:szCs w:val="26"/>
        </w:rPr>
      </w:pPr>
    </w:p>
    <w:p w14:paraId="46F07CE7" w14:textId="77777777" w:rsidR="001074BA" w:rsidRDefault="001074BA">
      <w:pPr>
        <w:suppressAutoHyphens w:val="0"/>
        <w:autoSpaceDN/>
        <w:spacing w:after="160" w:line="259" w:lineRule="auto"/>
        <w:textAlignment w:val="auto"/>
        <w:rPr>
          <w:rFonts w:ascii="Liberation Serif" w:hAnsi="Liberation Serif"/>
          <w:sz w:val="26"/>
          <w:szCs w:val="26"/>
        </w:rPr>
      </w:pPr>
      <w:r>
        <w:rPr>
          <w:rFonts w:ascii="Liberation Serif" w:hAnsi="Liberation Serif"/>
          <w:sz w:val="26"/>
          <w:szCs w:val="26"/>
        </w:rPr>
        <w:br w:type="page"/>
      </w:r>
    </w:p>
    <w:p w14:paraId="72FE2BED" w14:textId="77777777" w:rsidR="001074BA" w:rsidRDefault="001074BA" w:rsidP="001074BA">
      <w:pPr>
        <w:ind w:left="-57"/>
        <w:jc w:val="center"/>
      </w:pPr>
      <w:r>
        <w:rPr>
          <w:noProof/>
        </w:rPr>
        <w:lastRenderedPageBreak/>
        <mc:AlternateContent>
          <mc:Choice Requires="wps">
            <w:drawing>
              <wp:anchor distT="0" distB="0" distL="114300" distR="114300" simplePos="0" relativeHeight="251661312" behindDoc="0" locked="0" layoutInCell="1" allowOverlap="1" wp14:anchorId="08535751" wp14:editId="00496997">
                <wp:simplePos x="0" y="0"/>
                <wp:positionH relativeFrom="column">
                  <wp:posOffset>3227182</wp:posOffset>
                </wp:positionH>
                <wp:positionV relativeFrom="paragraph">
                  <wp:posOffset>0</wp:posOffset>
                </wp:positionV>
                <wp:extent cx="2914019" cy="1285875"/>
                <wp:effectExtent l="0" t="0" r="631" b="9525"/>
                <wp:wrapNone/>
                <wp:docPr id="1" name="Надпись 2"/>
                <wp:cNvGraphicFramePr/>
                <a:graphic xmlns:a="http://schemas.openxmlformats.org/drawingml/2006/main">
                  <a:graphicData uri="http://schemas.microsoft.com/office/word/2010/wordprocessingShape">
                    <wps:wsp>
                      <wps:cNvSpPr txBox="1"/>
                      <wps:spPr>
                        <a:xfrm>
                          <a:off x="0" y="0"/>
                          <a:ext cx="2914019" cy="1285875"/>
                        </a:xfrm>
                        <a:prstGeom prst="rect">
                          <a:avLst/>
                        </a:prstGeom>
                        <a:solidFill>
                          <a:srgbClr val="FFFFFF"/>
                        </a:solidFill>
                        <a:ln>
                          <a:noFill/>
                          <a:prstDash/>
                        </a:ln>
                      </wps:spPr>
                      <wps:txbx>
                        <w:txbxContent>
                          <w:p w14:paraId="097E380F" w14:textId="77777777" w:rsidR="001074BA" w:rsidRDefault="001074BA" w:rsidP="001074BA">
                            <w:pPr>
                              <w:rPr>
                                <w:rFonts w:ascii="Liberation Serif" w:hAnsi="Liberation Serif"/>
                                <w:sz w:val="28"/>
                                <w:szCs w:val="28"/>
                              </w:rPr>
                            </w:pPr>
                            <w:r>
                              <w:rPr>
                                <w:rFonts w:ascii="Liberation Serif" w:hAnsi="Liberation Serif"/>
                                <w:sz w:val="28"/>
                                <w:szCs w:val="28"/>
                              </w:rPr>
                              <w:t xml:space="preserve">УТВЕРЖДЕН </w:t>
                            </w:r>
                            <w:r>
                              <w:rPr>
                                <w:rFonts w:ascii="Liberation Serif" w:hAnsi="Liberation Serif"/>
                                <w:sz w:val="28"/>
                                <w:szCs w:val="28"/>
                              </w:rPr>
                              <w:br/>
                              <w:t>постановлением Администрации</w:t>
                            </w:r>
                          </w:p>
                          <w:p w14:paraId="4A3951F8" w14:textId="77777777" w:rsidR="001074BA" w:rsidRDefault="001074BA" w:rsidP="001074BA">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4298" w:type="dxa"/>
                              <w:tblLayout w:type="fixed"/>
                              <w:tblCellMar>
                                <w:left w:w="10" w:type="dxa"/>
                                <w:right w:w="10" w:type="dxa"/>
                              </w:tblCellMar>
                              <w:tblLook w:val="04A0" w:firstRow="1" w:lastRow="0" w:firstColumn="1" w:lastColumn="0" w:noHBand="0" w:noVBand="1"/>
                            </w:tblPr>
                            <w:tblGrid>
                              <w:gridCol w:w="542"/>
                              <w:gridCol w:w="2118"/>
                              <w:gridCol w:w="484"/>
                              <w:gridCol w:w="1154"/>
                            </w:tblGrid>
                            <w:tr w:rsidR="001074BA" w14:paraId="5714AF5C" w14:textId="77777777">
                              <w:tblPrEx>
                                <w:tblCellMar>
                                  <w:top w:w="0" w:type="dxa"/>
                                  <w:bottom w:w="0" w:type="dxa"/>
                                </w:tblCellMar>
                              </w:tblPrEx>
                              <w:tc>
                                <w:tcPr>
                                  <w:tcW w:w="542" w:type="dxa"/>
                                  <w:shd w:val="clear" w:color="auto" w:fill="auto"/>
                                  <w:tcMar>
                                    <w:top w:w="0" w:type="dxa"/>
                                    <w:left w:w="0" w:type="dxa"/>
                                    <w:bottom w:w="0" w:type="dxa"/>
                                    <w:right w:w="0" w:type="dxa"/>
                                  </w:tcMar>
                                </w:tcPr>
                                <w:p w14:paraId="140A6B9E" w14:textId="77777777" w:rsidR="001074BA" w:rsidRDefault="001074BA">
                                  <w:pPr>
                                    <w:rPr>
                                      <w:rFonts w:ascii="Liberation Serif" w:hAnsi="Liberation Serif"/>
                                      <w:sz w:val="28"/>
                                      <w:szCs w:val="28"/>
                                    </w:rPr>
                                  </w:pPr>
                                  <w:r>
                                    <w:rPr>
                                      <w:rFonts w:ascii="Liberation Serif" w:hAnsi="Liberation Serif"/>
                                      <w:sz w:val="28"/>
                                      <w:szCs w:val="28"/>
                                    </w:rPr>
                                    <w:t>от</w:t>
                                  </w:r>
                                </w:p>
                              </w:tc>
                              <w:tc>
                                <w:tcPr>
                                  <w:tcW w:w="2118" w:type="dxa"/>
                                  <w:tcBorders>
                                    <w:bottom w:val="single" w:sz="4" w:space="0" w:color="000000"/>
                                  </w:tcBorders>
                                  <w:shd w:val="clear" w:color="auto" w:fill="auto"/>
                                  <w:tcMar>
                                    <w:top w:w="0" w:type="dxa"/>
                                    <w:left w:w="0" w:type="dxa"/>
                                    <w:bottom w:w="0" w:type="dxa"/>
                                    <w:right w:w="0" w:type="dxa"/>
                                  </w:tcMar>
                                  <w:vAlign w:val="bottom"/>
                                </w:tcPr>
                                <w:p w14:paraId="6ECF3BAD" w14:textId="77777777" w:rsidR="001074BA" w:rsidRDefault="001074BA">
                                  <w:pPr>
                                    <w:jc w:val="center"/>
                                  </w:pPr>
                                </w:p>
                              </w:tc>
                              <w:tc>
                                <w:tcPr>
                                  <w:tcW w:w="484" w:type="dxa"/>
                                  <w:shd w:val="clear" w:color="auto" w:fill="auto"/>
                                  <w:tcMar>
                                    <w:top w:w="0" w:type="dxa"/>
                                    <w:left w:w="0" w:type="dxa"/>
                                    <w:bottom w:w="0" w:type="dxa"/>
                                    <w:right w:w="0" w:type="dxa"/>
                                  </w:tcMar>
                                </w:tcPr>
                                <w:p w14:paraId="1F314D4B" w14:textId="77777777" w:rsidR="001074BA" w:rsidRDefault="001074BA">
                                  <w:pPr>
                                    <w:rPr>
                                      <w:rFonts w:ascii="Liberation Serif" w:hAnsi="Liberation Serif"/>
                                      <w:sz w:val="28"/>
                                      <w:szCs w:val="28"/>
                                    </w:rPr>
                                  </w:pPr>
                                  <w:r>
                                    <w:rPr>
                                      <w:rFonts w:ascii="Liberation Serif" w:hAnsi="Liberation Serif"/>
                                      <w:sz w:val="28"/>
                                      <w:szCs w:val="28"/>
                                    </w:rPr>
                                    <w:t>№</w:t>
                                  </w:r>
                                </w:p>
                              </w:tc>
                              <w:tc>
                                <w:tcPr>
                                  <w:tcW w:w="1154" w:type="dxa"/>
                                  <w:tcBorders>
                                    <w:bottom w:val="single" w:sz="4" w:space="0" w:color="000000"/>
                                  </w:tcBorders>
                                  <w:shd w:val="clear" w:color="auto" w:fill="auto"/>
                                  <w:tcMar>
                                    <w:top w:w="0" w:type="dxa"/>
                                    <w:left w:w="0" w:type="dxa"/>
                                    <w:bottom w:w="0" w:type="dxa"/>
                                    <w:right w:w="0" w:type="dxa"/>
                                  </w:tcMar>
                                </w:tcPr>
                                <w:p w14:paraId="416EEA06" w14:textId="77777777" w:rsidR="001074BA" w:rsidRDefault="001074BA">
                                  <w:pPr>
                                    <w:jc w:val="center"/>
                                  </w:pPr>
                                  <w:r>
                                    <w:rPr>
                                      <w:rFonts w:ascii="Liberation Serif" w:hAnsi="Liberation Serif"/>
                                    </w:rPr>
                                    <w:t xml:space="preserve"> </w:t>
                                  </w:r>
                                </w:p>
                              </w:tc>
                            </w:tr>
                          </w:tbl>
                          <w:p w14:paraId="4F984BB1" w14:textId="77777777" w:rsidR="001074BA" w:rsidRDefault="001074BA" w:rsidP="001074BA">
                            <w:pPr>
                              <w:rPr>
                                <w:rFonts w:ascii="Liberation Serif" w:hAnsi="Liberation Serif"/>
                                <w:sz w:val="28"/>
                                <w:szCs w:val="28"/>
                              </w:rPr>
                            </w:pPr>
                          </w:p>
                          <w:p w14:paraId="209C9507" w14:textId="77777777" w:rsidR="001074BA" w:rsidRDefault="001074BA" w:rsidP="001074BA">
                            <w:pPr>
                              <w:rPr>
                                <w:rFonts w:ascii="Liberation Serif" w:hAnsi="Liberation Serif"/>
                                <w:sz w:val="28"/>
                                <w:szCs w:val="28"/>
                              </w:rPr>
                            </w:pPr>
                          </w:p>
                          <w:p w14:paraId="320DEB36" w14:textId="77777777" w:rsidR="001074BA" w:rsidRDefault="001074BA" w:rsidP="001074BA">
                            <w:pPr>
                              <w:rPr>
                                <w:rFonts w:ascii="Liberation Serif" w:hAnsi="Liberation Serif"/>
                              </w:rPr>
                            </w:pPr>
                          </w:p>
                        </w:txbxContent>
                      </wps:txbx>
                      <wps:bodyPr vert="horz" wrap="square" lIns="91440" tIns="45720" rIns="91440" bIns="45720" anchor="t" anchorCtr="0" compatLnSpc="0">
                        <a:noAutofit/>
                      </wps:bodyPr>
                    </wps:wsp>
                  </a:graphicData>
                </a:graphic>
              </wp:anchor>
            </w:drawing>
          </mc:Choice>
          <mc:Fallback>
            <w:pict>
              <v:shapetype w14:anchorId="08535751" id="_x0000_t202" coordsize="21600,21600" o:spt="202" path="m,l,21600r21600,l21600,xe">
                <v:stroke joinstyle="miter"/>
                <v:path gradientshapeok="t" o:connecttype="rect"/>
              </v:shapetype>
              <v:shape id="Надпись 2" o:spid="_x0000_s1026" type="#_x0000_t202" style="position:absolute;left:0;text-align:left;margin-left:254.1pt;margin-top:0;width:229.45pt;height:10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" stroked="f">
                <v:textbox>
                  <w:txbxContent>
                    <w:p w14:paraId="097E380F" w14:textId="77777777" w:rsidR="001074BA" w:rsidRDefault="001074BA" w:rsidP="001074BA">
                      <w:pPr>
                        <w:rPr>
                          <w:rFonts w:ascii="Liberation Serif" w:hAnsi="Liberation Serif"/>
                          <w:sz w:val="28"/>
                          <w:szCs w:val="28"/>
                        </w:rPr>
                      </w:pPr>
                      <w:r>
                        <w:rPr>
                          <w:rFonts w:ascii="Liberation Serif" w:hAnsi="Liberation Serif"/>
                          <w:sz w:val="28"/>
                          <w:szCs w:val="28"/>
                        </w:rPr>
                        <w:t xml:space="preserve">УТВЕРЖДЕН </w:t>
                      </w:r>
                      <w:r>
                        <w:rPr>
                          <w:rFonts w:ascii="Liberation Serif" w:hAnsi="Liberation Serif"/>
                          <w:sz w:val="28"/>
                          <w:szCs w:val="28"/>
                        </w:rPr>
                        <w:br/>
                        <w:t>постановлением Администрации</w:t>
                      </w:r>
                    </w:p>
                    <w:p w14:paraId="4A3951F8" w14:textId="77777777" w:rsidR="001074BA" w:rsidRDefault="001074BA" w:rsidP="001074BA">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4298" w:type="dxa"/>
                        <w:tblLayout w:type="fixed"/>
                        <w:tblCellMar>
                          <w:left w:w="10" w:type="dxa"/>
                          <w:right w:w="10" w:type="dxa"/>
                        </w:tblCellMar>
                        <w:tblLook w:val="04A0" w:firstRow="1" w:lastRow="0" w:firstColumn="1" w:lastColumn="0" w:noHBand="0" w:noVBand="1"/>
                      </w:tblPr>
                      <w:tblGrid>
                        <w:gridCol w:w="542"/>
                        <w:gridCol w:w="2118"/>
                        <w:gridCol w:w="484"/>
                        <w:gridCol w:w="1154"/>
                      </w:tblGrid>
                      <w:tr w:rsidR="001074BA" w14:paraId="5714AF5C" w14:textId="77777777">
                        <w:tblPrEx>
                          <w:tblCellMar>
                            <w:top w:w="0" w:type="dxa"/>
                            <w:bottom w:w="0" w:type="dxa"/>
                          </w:tblCellMar>
                        </w:tblPrEx>
                        <w:tc>
                          <w:tcPr>
                            <w:tcW w:w="542" w:type="dxa"/>
                            <w:shd w:val="clear" w:color="auto" w:fill="auto"/>
                            <w:tcMar>
                              <w:top w:w="0" w:type="dxa"/>
                              <w:left w:w="0" w:type="dxa"/>
                              <w:bottom w:w="0" w:type="dxa"/>
                              <w:right w:w="0" w:type="dxa"/>
                            </w:tcMar>
                          </w:tcPr>
                          <w:p w14:paraId="140A6B9E" w14:textId="77777777" w:rsidR="001074BA" w:rsidRDefault="001074BA">
                            <w:pPr>
                              <w:rPr>
                                <w:rFonts w:ascii="Liberation Serif" w:hAnsi="Liberation Serif"/>
                                <w:sz w:val="28"/>
                                <w:szCs w:val="28"/>
                              </w:rPr>
                            </w:pPr>
                            <w:r>
                              <w:rPr>
                                <w:rFonts w:ascii="Liberation Serif" w:hAnsi="Liberation Serif"/>
                                <w:sz w:val="28"/>
                                <w:szCs w:val="28"/>
                              </w:rPr>
                              <w:t>от</w:t>
                            </w:r>
                          </w:p>
                        </w:tc>
                        <w:tc>
                          <w:tcPr>
                            <w:tcW w:w="2118" w:type="dxa"/>
                            <w:tcBorders>
                              <w:bottom w:val="single" w:sz="4" w:space="0" w:color="000000"/>
                            </w:tcBorders>
                            <w:shd w:val="clear" w:color="auto" w:fill="auto"/>
                            <w:tcMar>
                              <w:top w:w="0" w:type="dxa"/>
                              <w:left w:w="0" w:type="dxa"/>
                              <w:bottom w:w="0" w:type="dxa"/>
                              <w:right w:w="0" w:type="dxa"/>
                            </w:tcMar>
                            <w:vAlign w:val="bottom"/>
                          </w:tcPr>
                          <w:p w14:paraId="6ECF3BAD" w14:textId="77777777" w:rsidR="001074BA" w:rsidRDefault="001074BA">
                            <w:pPr>
                              <w:jc w:val="center"/>
                            </w:pPr>
                          </w:p>
                        </w:tc>
                        <w:tc>
                          <w:tcPr>
                            <w:tcW w:w="484" w:type="dxa"/>
                            <w:shd w:val="clear" w:color="auto" w:fill="auto"/>
                            <w:tcMar>
                              <w:top w:w="0" w:type="dxa"/>
                              <w:left w:w="0" w:type="dxa"/>
                              <w:bottom w:w="0" w:type="dxa"/>
                              <w:right w:w="0" w:type="dxa"/>
                            </w:tcMar>
                          </w:tcPr>
                          <w:p w14:paraId="1F314D4B" w14:textId="77777777" w:rsidR="001074BA" w:rsidRDefault="001074BA">
                            <w:pPr>
                              <w:rPr>
                                <w:rFonts w:ascii="Liberation Serif" w:hAnsi="Liberation Serif"/>
                                <w:sz w:val="28"/>
                                <w:szCs w:val="28"/>
                              </w:rPr>
                            </w:pPr>
                            <w:r>
                              <w:rPr>
                                <w:rFonts w:ascii="Liberation Serif" w:hAnsi="Liberation Serif"/>
                                <w:sz w:val="28"/>
                                <w:szCs w:val="28"/>
                              </w:rPr>
                              <w:t>№</w:t>
                            </w:r>
                          </w:p>
                        </w:tc>
                        <w:tc>
                          <w:tcPr>
                            <w:tcW w:w="1154" w:type="dxa"/>
                            <w:tcBorders>
                              <w:bottom w:val="single" w:sz="4" w:space="0" w:color="000000"/>
                            </w:tcBorders>
                            <w:shd w:val="clear" w:color="auto" w:fill="auto"/>
                            <w:tcMar>
                              <w:top w:w="0" w:type="dxa"/>
                              <w:left w:w="0" w:type="dxa"/>
                              <w:bottom w:w="0" w:type="dxa"/>
                              <w:right w:w="0" w:type="dxa"/>
                            </w:tcMar>
                          </w:tcPr>
                          <w:p w14:paraId="416EEA06" w14:textId="77777777" w:rsidR="001074BA" w:rsidRDefault="001074BA">
                            <w:pPr>
                              <w:jc w:val="center"/>
                            </w:pPr>
                            <w:r>
                              <w:rPr>
                                <w:rFonts w:ascii="Liberation Serif" w:hAnsi="Liberation Serif"/>
                              </w:rPr>
                              <w:t xml:space="preserve"> </w:t>
                            </w:r>
                          </w:p>
                        </w:tc>
                      </w:tr>
                    </w:tbl>
                    <w:p w14:paraId="4F984BB1" w14:textId="77777777" w:rsidR="001074BA" w:rsidRDefault="001074BA" w:rsidP="001074BA">
                      <w:pPr>
                        <w:rPr>
                          <w:rFonts w:ascii="Liberation Serif" w:hAnsi="Liberation Serif"/>
                          <w:sz w:val="28"/>
                          <w:szCs w:val="28"/>
                        </w:rPr>
                      </w:pPr>
                    </w:p>
                    <w:p w14:paraId="209C9507" w14:textId="77777777" w:rsidR="001074BA" w:rsidRDefault="001074BA" w:rsidP="001074BA">
                      <w:pPr>
                        <w:rPr>
                          <w:rFonts w:ascii="Liberation Serif" w:hAnsi="Liberation Serif"/>
                          <w:sz w:val="28"/>
                          <w:szCs w:val="28"/>
                        </w:rPr>
                      </w:pPr>
                    </w:p>
                    <w:p w14:paraId="320DEB36" w14:textId="77777777" w:rsidR="001074BA" w:rsidRDefault="001074BA" w:rsidP="001074BA">
                      <w:pPr>
                        <w:rPr>
                          <w:rFonts w:ascii="Liberation Serif" w:hAnsi="Liberation Serif"/>
                        </w:rPr>
                      </w:pPr>
                    </w:p>
                  </w:txbxContent>
                </v:textbox>
              </v:shape>
            </w:pict>
          </mc:Fallback>
        </mc:AlternateContent>
      </w:r>
      <w:r>
        <w:rPr>
          <w:rFonts w:ascii="Liberation Serif" w:hAnsi="Liberation Serif"/>
          <w:b/>
          <w:spacing w:val="2"/>
          <w:sz w:val="32"/>
          <w:szCs w:val="32"/>
        </w:rPr>
        <w:t xml:space="preserve"> </w:t>
      </w:r>
    </w:p>
    <w:p w14:paraId="1BE82447" w14:textId="77777777" w:rsidR="001074BA" w:rsidRDefault="001074BA" w:rsidP="001074BA">
      <w:pPr>
        <w:ind w:left="-57"/>
        <w:jc w:val="center"/>
        <w:rPr>
          <w:rFonts w:ascii="Liberation Serif" w:hAnsi="Liberation Serif"/>
          <w:b/>
          <w:spacing w:val="2"/>
          <w:sz w:val="32"/>
          <w:szCs w:val="32"/>
        </w:rPr>
      </w:pPr>
    </w:p>
    <w:p w14:paraId="33C470F7" w14:textId="77777777" w:rsidR="001074BA" w:rsidRDefault="001074BA" w:rsidP="001074BA">
      <w:pPr>
        <w:ind w:left="-57"/>
        <w:jc w:val="center"/>
        <w:rPr>
          <w:rFonts w:ascii="Liberation Serif" w:hAnsi="Liberation Serif"/>
          <w:b/>
          <w:spacing w:val="2"/>
          <w:sz w:val="32"/>
          <w:szCs w:val="32"/>
        </w:rPr>
      </w:pPr>
    </w:p>
    <w:p w14:paraId="122E7DEA" w14:textId="77777777" w:rsidR="001074BA" w:rsidRDefault="001074BA" w:rsidP="001074BA">
      <w:pPr>
        <w:ind w:left="-57"/>
        <w:jc w:val="center"/>
        <w:rPr>
          <w:rFonts w:ascii="Liberation Serif" w:hAnsi="Liberation Serif"/>
          <w:b/>
          <w:spacing w:val="2"/>
          <w:sz w:val="32"/>
          <w:szCs w:val="32"/>
        </w:rPr>
      </w:pPr>
    </w:p>
    <w:p w14:paraId="1CA126BE" w14:textId="77777777" w:rsidR="001074BA" w:rsidRDefault="001074BA" w:rsidP="001074BA">
      <w:pPr>
        <w:ind w:left="-57"/>
        <w:jc w:val="center"/>
        <w:rPr>
          <w:rFonts w:ascii="Liberation Serif" w:hAnsi="Liberation Serif"/>
          <w:b/>
          <w:spacing w:val="2"/>
          <w:sz w:val="32"/>
          <w:szCs w:val="32"/>
        </w:rPr>
      </w:pPr>
    </w:p>
    <w:p w14:paraId="6D580B5B" w14:textId="77777777" w:rsidR="001074BA" w:rsidRDefault="001074BA" w:rsidP="001074BA">
      <w:pPr>
        <w:ind w:left="-57"/>
        <w:jc w:val="center"/>
        <w:rPr>
          <w:rFonts w:ascii="Liberation Serif" w:hAnsi="Liberation Serif" w:cs="Arial"/>
          <w:b/>
          <w:sz w:val="28"/>
          <w:szCs w:val="28"/>
        </w:rPr>
      </w:pPr>
    </w:p>
    <w:p w14:paraId="65B89512" w14:textId="77777777" w:rsidR="001074BA" w:rsidRDefault="001074BA" w:rsidP="001074BA">
      <w:pPr>
        <w:pStyle w:val="ConsPlusTitle"/>
        <w:jc w:val="center"/>
        <w:rPr>
          <w:rFonts w:ascii="Liberation Serif" w:hAnsi="Liberation Serif"/>
          <w:sz w:val="28"/>
          <w:szCs w:val="28"/>
        </w:rPr>
      </w:pPr>
      <w:bookmarkStart w:id="3" w:name="P34"/>
      <w:bookmarkEnd w:id="3"/>
      <w:r>
        <w:rPr>
          <w:rFonts w:ascii="Liberation Serif" w:hAnsi="Liberation Serif"/>
          <w:sz w:val="28"/>
          <w:szCs w:val="28"/>
        </w:rPr>
        <w:t>ПОРЯДОК</w:t>
      </w:r>
    </w:p>
    <w:p w14:paraId="753BCCD8" w14:textId="77777777" w:rsidR="001074BA" w:rsidRDefault="001074BA" w:rsidP="001074BA">
      <w:pPr>
        <w:pStyle w:val="ConsPlusTitle"/>
        <w:suppressAutoHyphens/>
        <w:jc w:val="center"/>
        <w:rPr>
          <w:rFonts w:ascii="Liberation Serif" w:hAnsi="Liberation Serif"/>
          <w:sz w:val="28"/>
          <w:szCs w:val="28"/>
        </w:rPr>
      </w:pPr>
      <w:r>
        <w:rPr>
          <w:rFonts w:ascii="Liberation Serif" w:hAnsi="Liberation Serif"/>
          <w:sz w:val="28"/>
          <w:szCs w:val="28"/>
        </w:rPr>
        <w:t>расходования субсидий, предоставленных из областного бюджета</w:t>
      </w:r>
    </w:p>
    <w:p w14:paraId="122E7D99" w14:textId="77777777" w:rsidR="001074BA" w:rsidRDefault="001074BA" w:rsidP="001074BA">
      <w:pPr>
        <w:pStyle w:val="ConsPlusTitle"/>
        <w:suppressAutoHyphens/>
        <w:jc w:val="center"/>
        <w:rPr>
          <w:rFonts w:ascii="Liberation Serif" w:hAnsi="Liberation Serif"/>
          <w:sz w:val="28"/>
          <w:szCs w:val="28"/>
        </w:rPr>
      </w:pPr>
      <w:r>
        <w:rPr>
          <w:rFonts w:ascii="Liberation Serif" w:hAnsi="Liberation Serif"/>
          <w:sz w:val="28"/>
          <w:szCs w:val="28"/>
        </w:rPr>
        <w:t>бюджету городского округа Верхняя Пышма, на предоставление социальных выплат молодым семьям на приобретение (строительство) жилья на территории городского округа Верхняя Пышма</w:t>
      </w:r>
    </w:p>
    <w:p w14:paraId="1C950544" w14:textId="77777777" w:rsidR="001074BA" w:rsidRDefault="001074BA" w:rsidP="001074BA">
      <w:pPr>
        <w:pStyle w:val="ConsPlusTitle"/>
        <w:suppressAutoHyphens/>
        <w:ind w:firstLine="709"/>
        <w:jc w:val="center"/>
        <w:rPr>
          <w:rFonts w:ascii="Liberation Serif" w:hAnsi="Liberation Serif" w:cs="Times New Roman"/>
          <w:b w:val="0"/>
          <w:sz w:val="28"/>
          <w:szCs w:val="28"/>
        </w:rPr>
      </w:pPr>
    </w:p>
    <w:p w14:paraId="1BF7BB67" w14:textId="77777777" w:rsidR="001074BA" w:rsidRDefault="001074BA" w:rsidP="001074BA">
      <w:pPr>
        <w:pStyle w:val="ConsPlusNormal"/>
        <w:numPr>
          <w:ilvl w:val="0"/>
          <w:numId w:val="2"/>
        </w:numPr>
        <w:suppressAutoHyphens/>
        <w:ind w:left="0" w:firstLine="709"/>
        <w:jc w:val="both"/>
        <w:rPr>
          <w:rFonts w:ascii="Liberation Serif" w:hAnsi="Liberation Serif"/>
          <w:sz w:val="28"/>
          <w:szCs w:val="28"/>
        </w:rPr>
      </w:pPr>
      <w:r>
        <w:rPr>
          <w:rFonts w:ascii="Liberation Serif" w:hAnsi="Liberation Serif"/>
          <w:sz w:val="28"/>
          <w:szCs w:val="28"/>
        </w:rPr>
        <w:t>Настоящий Порядок расходования субсидий, предоставленных из областного бюджета бюджету городского округа Верхняя Пышма, на предоставление социальных выплат молодым семьям на приобретение (строительство) жилья на территории городского округа Верхняя Пышма (далее – Порядок), определяет условия расходования субсидий, предоставленных из областного бюджета бюджету городского округа Верхняя Пышма, на предоставление социальных выплат молодым семьям на приобретение (строительство) жилья (далее – субсидии).</w:t>
      </w:r>
    </w:p>
    <w:p w14:paraId="09DD0CA7" w14:textId="77777777" w:rsidR="001074BA" w:rsidRDefault="001074BA" w:rsidP="001074BA">
      <w:pPr>
        <w:pStyle w:val="ConsPlusNormal"/>
        <w:numPr>
          <w:ilvl w:val="0"/>
          <w:numId w:val="2"/>
        </w:numPr>
        <w:suppressAutoHyphens/>
        <w:ind w:left="0" w:firstLine="709"/>
        <w:jc w:val="both"/>
        <w:rPr>
          <w:rFonts w:ascii="Liberation Serif" w:hAnsi="Liberation Serif"/>
          <w:sz w:val="28"/>
          <w:szCs w:val="28"/>
        </w:rPr>
      </w:pPr>
      <w:r>
        <w:rPr>
          <w:rFonts w:ascii="Liberation Serif" w:hAnsi="Liberation Serif"/>
          <w:sz w:val="28"/>
          <w:szCs w:val="28"/>
        </w:rPr>
        <w:t>Главным администратором доходов и главным распорядителем бюджетных средств является Администрация городского округа Верхняя Пышма. Получателем бюджетных средств является муниципальное казенное учреждение «Управление физической культуры, спорта и молодежной политики городского округа Верхняя Пышма» (далее – МКУ «УСМ ГО Верхняя Пышма»).</w:t>
      </w:r>
    </w:p>
    <w:p w14:paraId="003B18EC" w14:textId="77777777" w:rsidR="001074BA" w:rsidRDefault="001074BA" w:rsidP="001074BA">
      <w:pPr>
        <w:pStyle w:val="ConsPlusNormal"/>
        <w:numPr>
          <w:ilvl w:val="0"/>
          <w:numId w:val="2"/>
        </w:numPr>
        <w:suppressAutoHyphens/>
        <w:ind w:left="0" w:firstLine="709"/>
        <w:jc w:val="both"/>
        <w:rPr>
          <w:rFonts w:ascii="Liberation Serif" w:hAnsi="Liberation Serif"/>
          <w:sz w:val="28"/>
          <w:szCs w:val="28"/>
        </w:rPr>
      </w:pPr>
      <w:r>
        <w:rPr>
          <w:rFonts w:ascii="Liberation Serif" w:hAnsi="Liberation Serif"/>
          <w:sz w:val="28"/>
          <w:szCs w:val="28"/>
        </w:rPr>
        <w:t>Средства направляются на предоставление социальных выплат молодым семьям на приобретение (строительство) жилья на территории городского округа Верхняя Пышма в виде субсидий на основании соглашения, заключаемого между Министерством строительства и развития инфраструктуры Свердловской области и администрацией городского округа Верхняя Пышма, списка молодых семей - претендентов на получение социальных выплат в текущем году, в пределах утвержденных бюджетных ассигнований и лимитов бюджетных обязательств на указанные цели.</w:t>
      </w:r>
    </w:p>
    <w:p w14:paraId="7637B653" w14:textId="77777777" w:rsidR="001074BA" w:rsidRDefault="001074BA" w:rsidP="001074BA">
      <w:pPr>
        <w:pStyle w:val="ConsPlusNormal"/>
        <w:numPr>
          <w:ilvl w:val="0"/>
          <w:numId w:val="2"/>
        </w:numPr>
        <w:suppressAutoHyphens/>
        <w:ind w:left="0" w:firstLine="709"/>
        <w:jc w:val="both"/>
        <w:rPr>
          <w:rFonts w:ascii="Liberation Serif" w:hAnsi="Liberation Serif"/>
          <w:sz w:val="28"/>
          <w:szCs w:val="28"/>
        </w:rPr>
      </w:pPr>
      <w:r>
        <w:rPr>
          <w:rFonts w:ascii="Liberation Serif" w:hAnsi="Liberation Serif"/>
          <w:sz w:val="28"/>
          <w:szCs w:val="28"/>
        </w:rPr>
        <w:t>Субсидии подлежат зачислению в доход бюджета городского округа Верхняя Пышма: КБК дохода 901 202 25 497 04 0000 150, и расходованию по разделу 10 подразделу 04 целевой статьи 07501L4970 ввиду расхода 322 КОСГУ 262.</w:t>
      </w:r>
    </w:p>
    <w:p w14:paraId="525A8EE1" w14:textId="77777777" w:rsidR="001074BA" w:rsidRDefault="001074BA" w:rsidP="001074BA">
      <w:pPr>
        <w:pStyle w:val="ConsPlusNormal"/>
        <w:numPr>
          <w:ilvl w:val="0"/>
          <w:numId w:val="2"/>
        </w:numPr>
        <w:suppressAutoHyphens/>
        <w:ind w:left="0" w:firstLine="709"/>
        <w:jc w:val="both"/>
      </w:pPr>
      <w:r>
        <w:rPr>
          <w:rFonts w:ascii="Liberation Serif" w:hAnsi="Liberation Serif"/>
          <w:sz w:val="28"/>
          <w:szCs w:val="28"/>
        </w:rPr>
        <w:t xml:space="preserve">Условия и цели расходования субсидий определены </w:t>
      </w:r>
      <w:hyperlink r:id="rId7" w:tooltip="Постановление Правительства Свердловской области от 24.10.2013 N 1296-ПП (ред. от 16.04.2026) " w:history="1">
        <w:r>
          <w:rPr>
            <w:rFonts w:ascii="Liberation Serif" w:hAnsi="Liberation Serif"/>
            <w:sz w:val="28"/>
            <w:szCs w:val="28"/>
          </w:rPr>
          <w:t>Порядком</w:t>
        </w:r>
      </w:hyperlink>
      <w:r>
        <w:rPr>
          <w:rFonts w:ascii="Liberation Serif" w:hAnsi="Liberation Serif"/>
          <w:sz w:val="28"/>
          <w:szCs w:val="28"/>
        </w:rPr>
        <w:t xml:space="preserve"> предоставления и распределения субсидии из областного бюджета бюджетам муниципальных образований, расположенных на территории Свердловской области, на представление социальных выплат молодым семьям на приобретение (строительство) жилья, утвержденным постановлением Правительства Свердловской области от 24.10.2013 № 1296-ПП «Об утверждении государственной программы Свердловской области «Реализация </w:t>
      </w:r>
      <w:r>
        <w:rPr>
          <w:rFonts w:ascii="Liberation Serif" w:hAnsi="Liberation Serif"/>
          <w:sz w:val="28"/>
          <w:szCs w:val="28"/>
        </w:rPr>
        <w:lastRenderedPageBreak/>
        <w:t>основных направлений государственной политики в строительном комплексе Свердловской области».</w:t>
      </w:r>
    </w:p>
    <w:p w14:paraId="77283835" w14:textId="77777777" w:rsidR="001074BA" w:rsidRDefault="001074BA" w:rsidP="001074BA">
      <w:pPr>
        <w:pStyle w:val="ConsPlusNormal"/>
        <w:numPr>
          <w:ilvl w:val="0"/>
          <w:numId w:val="2"/>
        </w:numPr>
        <w:suppressAutoHyphens/>
        <w:ind w:left="0" w:firstLine="709"/>
        <w:jc w:val="both"/>
        <w:rPr>
          <w:rFonts w:ascii="Liberation Serif" w:hAnsi="Liberation Serif"/>
          <w:sz w:val="28"/>
          <w:szCs w:val="28"/>
        </w:rPr>
      </w:pPr>
      <w:r>
        <w:rPr>
          <w:rFonts w:ascii="Liberation Serif" w:hAnsi="Liberation Serif"/>
          <w:sz w:val="28"/>
          <w:szCs w:val="28"/>
        </w:rPr>
        <w:t>Средства, полученные из областного бюджета в форме субсидии, расходуются в соответствии с условиями и целями, определенными порядком Свердловской области.</w:t>
      </w:r>
    </w:p>
    <w:p w14:paraId="5D014DBA" w14:textId="77777777" w:rsidR="001074BA" w:rsidRDefault="001074BA" w:rsidP="001074BA">
      <w:pPr>
        <w:pStyle w:val="ConsPlusNormal"/>
        <w:numPr>
          <w:ilvl w:val="0"/>
          <w:numId w:val="2"/>
        </w:numPr>
        <w:suppressAutoHyphens/>
        <w:ind w:left="0" w:firstLine="709"/>
        <w:jc w:val="both"/>
        <w:rPr>
          <w:rFonts w:ascii="Liberation Serif" w:hAnsi="Liberation Serif"/>
          <w:sz w:val="28"/>
          <w:szCs w:val="28"/>
        </w:rPr>
      </w:pPr>
      <w:r>
        <w:rPr>
          <w:rFonts w:ascii="Liberation Serif" w:hAnsi="Liberation Serif"/>
          <w:sz w:val="28"/>
          <w:szCs w:val="28"/>
        </w:rPr>
        <w:t>Неиспользованные остатки субсидий подлежат возврату в областной бюджет в сроки, установленные бюджетным законодательством Российской Федерации.</w:t>
      </w:r>
    </w:p>
    <w:p w14:paraId="160FB7CF" w14:textId="77777777" w:rsidR="001074BA" w:rsidRDefault="001074BA" w:rsidP="001074BA">
      <w:pPr>
        <w:pStyle w:val="ConsPlusNormal"/>
        <w:numPr>
          <w:ilvl w:val="0"/>
          <w:numId w:val="2"/>
        </w:numPr>
        <w:suppressAutoHyphens/>
        <w:ind w:left="0" w:firstLine="709"/>
        <w:jc w:val="both"/>
        <w:rPr>
          <w:rFonts w:ascii="Liberation Serif" w:hAnsi="Liberation Serif"/>
          <w:sz w:val="28"/>
          <w:szCs w:val="28"/>
        </w:rPr>
      </w:pPr>
      <w:r>
        <w:rPr>
          <w:rFonts w:ascii="Liberation Serif" w:hAnsi="Liberation Serif"/>
          <w:sz w:val="28"/>
          <w:szCs w:val="28"/>
        </w:rPr>
        <w:t>Отчетность осуществляется в соответствии с Соглашением между Министерством строительства и развития инфраструктуры Свердловской области и администрацией городского округа Верхняя Пышма.</w:t>
      </w:r>
    </w:p>
    <w:p w14:paraId="740B2E81" w14:textId="77777777" w:rsidR="001074BA" w:rsidRDefault="001074BA" w:rsidP="001074BA">
      <w:pPr>
        <w:pStyle w:val="a7"/>
        <w:widowControl w:val="0"/>
        <w:numPr>
          <w:ilvl w:val="0"/>
          <w:numId w:val="2"/>
        </w:numPr>
        <w:autoSpaceDE w:val="0"/>
        <w:ind w:left="0" w:firstLine="709"/>
        <w:jc w:val="both"/>
        <w:rPr>
          <w:rFonts w:ascii="Liberation Serif" w:hAnsi="Liberation Serif"/>
          <w:sz w:val="28"/>
          <w:szCs w:val="28"/>
        </w:rPr>
      </w:pPr>
      <w:r>
        <w:rPr>
          <w:rFonts w:ascii="Liberation Serif" w:hAnsi="Liberation Serif"/>
          <w:sz w:val="28"/>
          <w:szCs w:val="28"/>
        </w:rPr>
        <w:t>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и уголовным законодательством Российской Федерации.</w:t>
      </w:r>
    </w:p>
    <w:p w14:paraId="6C03EE71" w14:textId="77777777" w:rsidR="001074BA" w:rsidRDefault="001074BA" w:rsidP="001074BA">
      <w:pPr>
        <w:pStyle w:val="a7"/>
        <w:widowControl w:val="0"/>
        <w:numPr>
          <w:ilvl w:val="0"/>
          <w:numId w:val="2"/>
        </w:numPr>
        <w:autoSpaceDE w:val="0"/>
        <w:ind w:left="0" w:firstLine="709"/>
        <w:jc w:val="both"/>
        <w:rPr>
          <w:rFonts w:ascii="Liberation Serif" w:hAnsi="Liberation Serif"/>
          <w:sz w:val="28"/>
          <w:szCs w:val="28"/>
        </w:rPr>
      </w:pPr>
      <w:r>
        <w:rPr>
          <w:rFonts w:ascii="Liberation Serif" w:hAnsi="Liberation Serif"/>
          <w:sz w:val="28"/>
          <w:szCs w:val="28"/>
        </w:rPr>
        <w:t>Ответственным за целевое расходование субсидий является МКУ «УСМ ГО Верхняя Пышма».</w:t>
      </w:r>
    </w:p>
    <w:p w14:paraId="6DDF4E53" w14:textId="77777777" w:rsidR="001074BA" w:rsidRDefault="001074BA" w:rsidP="001074BA">
      <w:pPr>
        <w:pStyle w:val="a7"/>
        <w:widowControl w:val="0"/>
        <w:numPr>
          <w:ilvl w:val="0"/>
          <w:numId w:val="2"/>
        </w:numPr>
        <w:autoSpaceDE w:val="0"/>
        <w:ind w:left="0" w:firstLine="709"/>
        <w:jc w:val="both"/>
        <w:rPr>
          <w:rFonts w:ascii="Liberation Serif" w:hAnsi="Liberation Serif"/>
          <w:sz w:val="28"/>
          <w:szCs w:val="28"/>
        </w:rPr>
      </w:pPr>
      <w:r>
        <w:rPr>
          <w:rFonts w:ascii="Liberation Serif" w:hAnsi="Liberation Serif"/>
          <w:sz w:val="28"/>
          <w:szCs w:val="28"/>
        </w:rPr>
        <w:t>Контроль за целевым расходованием субсидий осуществляется Администрацией городского округа Верхняя Пышма и Финансовым управлением администрации городского округа Верхняя Пышма».</w:t>
      </w:r>
    </w:p>
    <w:p w14:paraId="2ACCA7EF" w14:textId="77777777" w:rsidR="001074BA" w:rsidRDefault="001074BA" w:rsidP="001074BA">
      <w:pPr>
        <w:ind w:left="-57"/>
        <w:jc w:val="center"/>
        <w:rPr>
          <w:rFonts w:ascii="Liberation Serif" w:hAnsi="Liberation Serif"/>
          <w:b/>
          <w:spacing w:val="2"/>
          <w:sz w:val="32"/>
          <w:szCs w:val="32"/>
        </w:rPr>
      </w:pPr>
    </w:p>
    <w:p w14:paraId="7C86A2F0" w14:textId="77777777" w:rsidR="001074BA" w:rsidRDefault="001074BA" w:rsidP="001074BA">
      <w:pPr>
        <w:pStyle w:val="ConsNormal"/>
        <w:widowControl/>
        <w:ind w:firstLine="0"/>
        <w:rPr>
          <w:rFonts w:ascii="Liberation Serif" w:hAnsi="Liberation Serif"/>
          <w:sz w:val="26"/>
          <w:szCs w:val="26"/>
        </w:rPr>
      </w:pPr>
    </w:p>
    <w:p w14:paraId="4DD63B94" w14:textId="77777777" w:rsidR="00DB2156" w:rsidRDefault="00DB2156"/>
    <w:sectPr w:rsidR="00DB2156">
      <w:headerReference w:type="default" r:id="rId8"/>
      <w:pgSz w:w="11906" w:h="16838"/>
      <w:pgMar w:top="1134" w:right="624" w:bottom="1134" w:left="1701"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B65B3" w14:textId="77777777" w:rsidR="00046CFC" w:rsidRDefault="00046CFC" w:rsidP="001074BA">
      <w:r>
        <w:separator/>
      </w:r>
    </w:p>
  </w:endnote>
  <w:endnote w:type="continuationSeparator" w:id="0">
    <w:p w14:paraId="094E6F5C" w14:textId="77777777" w:rsidR="00046CFC" w:rsidRDefault="00046CFC" w:rsidP="0010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2A9A1" w14:textId="77777777" w:rsidR="00046CFC" w:rsidRDefault="00046CFC" w:rsidP="001074BA">
      <w:r>
        <w:separator/>
      </w:r>
    </w:p>
  </w:footnote>
  <w:footnote w:type="continuationSeparator" w:id="0">
    <w:p w14:paraId="6ACDA2A6" w14:textId="77777777" w:rsidR="00046CFC" w:rsidRDefault="00046CFC" w:rsidP="00107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C9DCD" w14:textId="77777777" w:rsidR="00CE063C" w:rsidRDefault="00046CFC">
    <w:pPr>
      <w:pStyle w:val="a3"/>
      <w:jc w:val="center"/>
    </w:pPr>
  </w:p>
  <w:p w14:paraId="58CE87AE" w14:textId="77777777" w:rsidR="00CE063C" w:rsidRDefault="00046CFC">
    <w:pPr>
      <w:pStyle w:val="a3"/>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3A70FE"/>
    <w:multiLevelType w:val="multilevel"/>
    <w:tmpl w:val="2D3253AA"/>
    <w:lvl w:ilvl="0">
      <w:start w:val="1"/>
      <w:numFmt w:val="decimal"/>
      <w:lvlText w:val="%1."/>
      <w:lvlJc w:val="left"/>
      <w:pPr>
        <w:ind w:left="900" w:hanging="360"/>
      </w:pPr>
      <w:rPr>
        <w:rFonts w:ascii="Liberation Serif" w:hAnsi="Liberation Serif"/>
        <w:sz w:val="28"/>
        <w:szCs w:val="2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62360985"/>
    <w:multiLevelType w:val="multilevel"/>
    <w:tmpl w:val="E61A0BE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DB"/>
    <w:rsid w:val="00046CFC"/>
    <w:rsid w:val="001074BA"/>
    <w:rsid w:val="00B874DB"/>
    <w:rsid w:val="00DB2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C8053-96E5-4AEF-9844-C929F28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4BA"/>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74BA"/>
    <w:pPr>
      <w:tabs>
        <w:tab w:val="center" w:pos="4677"/>
        <w:tab w:val="right" w:pos="9355"/>
      </w:tabs>
    </w:pPr>
  </w:style>
  <w:style w:type="character" w:customStyle="1" w:styleId="a4">
    <w:name w:val="Верхний колонтитул Знак"/>
    <w:basedOn w:val="a0"/>
    <w:link w:val="a3"/>
    <w:rsid w:val="001074BA"/>
    <w:rPr>
      <w:rFonts w:ascii="Times New Roman" w:eastAsia="Times New Roman" w:hAnsi="Times New Roman" w:cs="Times New Roman"/>
      <w:sz w:val="24"/>
      <w:szCs w:val="24"/>
      <w:lang w:eastAsia="ru-RU"/>
    </w:rPr>
  </w:style>
  <w:style w:type="paragraph" w:styleId="a5">
    <w:name w:val="footer"/>
    <w:basedOn w:val="a"/>
    <w:link w:val="a6"/>
    <w:rsid w:val="001074BA"/>
    <w:pPr>
      <w:tabs>
        <w:tab w:val="center" w:pos="4677"/>
        <w:tab w:val="right" w:pos="9355"/>
      </w:tabs>
    </w:pPr>
  </w:style>
  <w:style w:type="character" w:customStyle="1" w:styleId="a6">
    <w:name w:val="Нижний колонтитул Знак"/>
    <w:basedOn w:val="a0"/>
    <w:link w:val="a5"/>
    <w:rsid w:val="001074BA"/>
    <w:rPr>
      <w:rFonts w:ascii="Times New Roman" w:eastAsia="Times New Roman" w:hAnsi="Times New Roman" w:cs="Times New Roman"/>
      <w:sz w:val="24"/>
      <w:szCs w:val="24"/>
      <w:lang w:eastAsia="ru-RU"/>
    </w:rPr>
  </w:style>
  <w:style w:type="paragraph" w:customStyle="1" w:styleId="ConsNormal">
    <w:name w:val="ConsNormal"/>
    <w:rsid w:val="001074BA"/>
    <w:pPr>
      <w:widowControl w:val="0"/>
      <w:suppressAutoHyphens/>
      <w:autoSpaceDN w:val="0"/>
      <w:snapToGrid w:val="0"/>
      <w:spacing w:after="0" w:line="240" w:lineRule="auto"/>
      <w:ind w:firstLine="720"/>
      <w:textAlignment w:val="baseline"/>
    </w:pPr>
    <w:rPr>
      <w:rFonts w:ascii="Arial" w:eastAsia="Times New Roman" w:hAnsi="Arial" w:cs="Times New Roman"/>
      <w:sz w:val="20"/>
      <w:szCs w:val="20"/>
      <w:lang w:eastAsia="ru-RU"/>
    </w:rPr>
  </w:style>
  <w:style w:type="paragraph" w:styleId="a7">
    <w:name w:val="List Paragraph"/>
    <w:basedOn w:val="a"/>
    <w:rsid w:val="001074BA"/>
    <w:pPr>
      <w:ind w:left="720"/>
    </w:pPr>
  </w:style>
  <w:style w:type="paragraph" w:customStyle="1" w:styleId="ConsPlusNormal">
    <w:name w:val="ConsPlusNormal"/>
    <w:rsid w:val="001074B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1074BA"/>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LAW071&amp;n=424678&amp;date=08.05.2026&amp;dst=6278&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2026-05-25T13:37:00Z</dcterms:created>
  <dcterms:modified xsi:type="dcterms:W3CDTF">2026-05-25T13:37:00Z</dcterms:modified>
</cp:coreProperties>
</file>