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757" w:rsidRDefault="004F4757">
      <w:pPr>
        <w:pStyle w:val="ConsPlusTitlePage"/>
      </w:pPr>
      <w:bookmarkStart w:id="0" w:name="_GoBack"/>
      <w:bookmarkEnd w:id="0"/>
    </w:p>
    <w:p w:rsidR="004F4757" w:rsidRDefault="004F4757">
      <w:pPr>
        <w:pStyle w:val="ConsPlusNormal"/>
        <w:jc w:val="both"/>
        <w:outlineLvl w:val="0"/>
      </w:pPr>
    </w:p>
    <w:p w:rsidR="004F4757" w:rsidRDefault="004F475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F4757" w:rsidRDefault="004F4757">
      <w:pPr>
        <w:pStyle w:val="ConsPlusTitle"/>
        <w:ind w:firstLine="540"/>
        <w:jc w:val="both"/>
      </w:pPr>
    </w:p>
    <w:p w:rsidR="004F4757" w:rsidRDefault="004F4757">
      <w:pPr>
        <w:pStyle w:val="ConsPlusTitle"/>
        <w:jc w:val="center"/>
      </w:pPr>
      <w:r>
        <w:t>РАСПОРЯЖЕНИЕ</w:t>
      </w:r>
    </w:p>
    <w:p w:rsidR="004F4757" w:rsidRDefault="004F4757">
      <w:pPr>
        <w:pStyle w:val="ConsPlusTitle"/>
        <w:jc w:val="center"/>
      </w:pPr>
      <w:r>
        <w:t>от 8 октября 2025 г. N 2816-р</w:t>
      </w:r>
    </w:p>
    <w:p w:rsidR="004F4757" w:rsidRDefault="004F4757">
      <w:pPr>
        <w:pStyle w:val="ConsPlusNormal"/>
        <w:jc w:val="center"/>
      </w:pPr>
    </w:p>
    <w:p w:rsidR="004F4757" w:rsidRDefault="004F4757">
      <w:pPr>
        <w:pStyle w:val="ConsPlusNormal"/>
        <w:ind w:firstLine="540"/>
        <w:jc w:val="both"/>
      </w:pPr>
      <w:r>
        <w:t xml:space="preserve">1. Утвердить прилагаемый Национальный </w:t>
      </w:r>
      <w:hyperlink w:anchor="P32">
        <w:r>
          <w:rPr>
            <w:color w:val="0000FF"/>
          </w:rPr>
          <w:t>план</w:t>
        </w:r>
      </w:hyperlink>
      <w:r>
        <w:t xml:space="preserve"> ("дорожную карту") развития конкуренции в Российской Федерации на 2026 - 2030 годы (далее - национальный план).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2. Реализация национального </w:t>
      </w:r>
      <w:hyperlink w:anchor="P32">
        <w:r>
          <w:rPr>
            <w:color w:val="0000FF"/>
          </w:rPr>
          <w:t>плана</w:t>
        </w:r>
      </w:hyperlink>
      <w:r>
        <w:t xml:space="preserve"> осуществляется федеральными органами исполнительной власти в пределах установленной предельной численности работников их центральных аппаратов и территориальных органов, а также бюджетных ассигнований, предусмотренных им в федеральном бюджете на выполнение функций в установленной сфере деятельности.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3. Руководителям федеральных органов исполнительной власти, ответственных за реализацию национального </w:t>
      </w:r>
      <w:hyperlink w:anchor="P32">
        <w:r>
          <w:rPr>
            <w:color w:val="0000FF"/>
          </w:rPr>
          <w:t>плана</w:t>
        </w:r>
      </w:hyperlink>
      <w:r>
        <w:t>: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обеспечить реализацию национального </w:t>
      </w:r>
      <w:hyperlink w:anchor="P32">
        <w:r>
          <w:rPr>
            <w:color w:val="0000FF"/>
          </w:rPr>
          <w:t>плана</w:t>
        </w:r>
      </w:hyperlink>
      <w:r>
        <w:t>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ежеквартально, до 5-го числа месяца, следующего за отчетным кварталом, направлять в ФАС России информацию о ходе реализации национального </w:t>
      </w:r>
      <w:hyperlink w:anchor="P32">
        <w:r>
          <w:rPr>
            <w:color w:val="0000FF"/>
          </w:rPr>
          <w:t>плана</w:t>
        </w:r>
      </w:hyperlink>
      <w:r>
        <w:t>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4. ФАС России: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обеспечить мониторинг и контроль реализации национального </w:t>
      </w:r>
      <w:hyperlink w:anchor="P32">
        <w:r>
          <w:rPr>
            <w:color w:val="0000FF"/>
          </w:rPr>
          <w:t>плана</w:t>
        </w:r>
      </w:hyperlink>
      <w:r>
        <w:t>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ежеквартально, до 25-го числа месяца, следующего за отчетным кварталом, представлять в Правительство Российской Федерации информацию о ходе реализации национального </w:t>
      </w:r>
      <w:hyperlink w:anchor="P32">
        <w:r>
          <w:rPr>
            <w:color w:val="0000FF"/>
          </w:rPr>
          <w:t>плана</w:t>
        </w:r>
      </w:hyperlink>
      <w:r>
        <w:t>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Федерации: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обеспечить ежегодное размещение на официальных сайтах исполнительных органов субъектов Российской Федерации, ответственных за реализацию государственной политики по развитию конкуренции в субъекте Российской Федерации,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</w:t>
      </w:r>
      <w:hyperlink w:anchor="P32">
        <w:r>
          <w:rPr>
            <w:color w:val="0000FF"/>
          </w:rPr>
          <w:t>плана</w:t>
        </w:r>
      </w:hyperlink>
      <w:r>
        <w:t>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в срок до 1 мая 2026 г. утвердить планы мероприятий ("дорожные карты") по содействию развитию конкуренции в субъектах Российской Федерации на 2026 - 2030 годы с учетом требований стандарта развития конкуренции в субъектах Российской Федерации;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при проведении оценки регулирующего воздействия проектов нормативных правовых актов субъектов Российской Федерации учитывать их влияние на состояние конкуренции.</w:t>
      </w:r>
    </w:p>
    <w:p w:rsidR="004F4757" w:rsidRDefault="004F4757">
      <w:pPr>
        <w:pStyle w:val="ConsPlusNormal"/>
        <w:ind w:firstLine="540"/>
        <w:jc w:val="both"/>
      </w:pPr>
    </w:p>
    <w:p w:rsidR="004F4757" w:rsidRDefault="004F4757">
      <w:pPr>
        <w:pStyle w:val="ConsPlusNormal"/>
        <w:jc w:val="right"/>
      </w:pPr>
      <w:r>
        <w:t>Председатель Правительства</w:t>
      </w:r>
    </w:p>
    <w:p w:rsidR="004F4757" w:rsidRDefault="004F4757">
      <w:pPr>
        <w:pStyle w:val="ConsPlusNormal"/>
        <w:jc w:val="right"/>
      </w:pPr>
      <w:r>
        <w:t>Российской Федерации</w:t>
      </w:r>
    </w:p>
    <w:p w:rsidR="004F4757" w:rsidRDefault="004F4757">
      <w:pPr>
        <w:pStyle w:val="ConsPlusNormal"/>
        <w:jc w:val="right"/>
      </w:pPr>
      <w:r>
        <w:t>М.МИШУСТИН</w:t>
      </w:r>
    </w:p>
    <w:p w:rsidR="004F4757" w:rsidRDefault="004F4757">
      <w:pPr>
        <w:pStyle w:val="ConsPlusNormal"/>
        <w:jc w:val="right"/>
      </w:pPr>
    </w:p>
    <w:p w:rsidR="004F4757" w:rsidRDefault="004F4757">
      <w:pPr>
        <w:pStyle w:val="ConsPlusNormal"/>
        <w:jc w:val="right"/>
      </w:pPr>
    </w:p>
    <w:p w:rsidR="004F4757" w:rsidRDefault="004F4757">
      <w:pPr>
        <w:pStyle w:val="ConsPlusNormal"/>
        <w:jc w:val="right"/>
      </w:pPr>
    </w:p>
    <w:p w:rsidR="004F4757" w:rsidRDefault="004F4757">
      <w:pPr>
        <w:pStyle w:val="ConsPlusNormal"/>
        <w:jc w:val="right"/>
      </w:pPr>
    </w:p>
    <w:p w:rsidR="004F4757" w:rsidRDefault="004F4757">
      <w:pPr>
        <w:pStyle w:val="ConsPlusNormal"/>
        <w:jc w:val="right"/>
      </w:pPr>
    </w:p>
    <w:p w:rsidR="004F4757" w:rsidRDefault="004F4757">
      <w:pPr>
        <w:pStyle w:val="ConsPlusNormal"/>
        <w:jc w:val="right"/>
        <w:outlineLvl w:val="0"/>
      </w:pPr>
      <w:r>
        <w:t>Утвержден</w:t>
      </w:r>
    </w:p>
    <w:p w:rsidR="004F4757" w:rsidRDefault="004F4757">
      <w:pPr>
        <w:pStyle w:val="ConsPlusNormal"/>
        <w:jc w:val="right"/>
      </w:pPr>
      <w:r>
        <w:t>распоряжением Правительства</w:t>
      </w:r>
    </w:p>
    <w:p w:rsidR="004F4757" w:rsidRDefault="004F4757">
      <w:pPr>
        <w:pStyle w:val="ConsPlusNormal"/>
        <w:jc w:val="right"/>
      </w:pPr>
      <w:r>
        <w:lastRenderedPageBreak/>
        <w:t>Российской Федерации</w:t>
      </w:r>
    </w:p>
    <w:p w:rsidR="004F4757" w:rsidRDefault="004F4757">
      <w:pPr>
        <w:pStyle w:val="ConsPlusNormal"/>
        <w:jc w:val="right"/>
      </w:pPr>
      <w:r>
        <w:t>от 8 октября 2025 г. N 2816-р</w:t>
      </w:r>
    </w:p>
    <w:p w:rsidR="004F4757" w:rsidRDefault="004F4757">
      <w:pPr>
        <w:pStyle w:val="ConsPlusNormal"/>
        <w:jc w:val="center"/>
      </w:pPr>
    </w:p>
    <w:p w:rsidR="004F4757" w:rsidRDefault="004F4757">
      <w:pPr>
        <w:pStyle w:val="ConsPlusTitle"/>
        <w:jc w:val="center"/>
      </w:pPr>
      <w:bookmarkStart w:id="1" w:name="P32"/>
      <w:bookmarkEnd w:id="1"/>
      <w:r>
        <w:t>НАЦИОНАЛЬНЫЙ ПЛАН</w:t>
      </w:r>
    </w:p>
    <w:p w:rsidR="004F4757" w:rsidRDefault="004F4757">
      <w:pPr>
        <w:pStyle w:val="ConsPlusTitle"/>
        <w:jc w:val="center"/>
      </w:pPr>
      <w:r>
        <w:t>("ДОРОЖНАЯ КАРТА") РАЗВИТИЯ КОНКУРЕНЦИИ В РОССИЙСКОЙ</w:t>
      </w:r>
    </w:p>
    <w:p w:rsidR="004F4757" w:rsidRDefault="004F4757">
      <w:pPr>
        <w:pStyle w:val="ConsPlusTitle"/>
        <w:jc w:val="center"/>
      </w:pPr>
      <w:r>
        <w:t>ФЕДЕРАЦИИ НА 2026 - 2030 ГОДЫ</w:t>
      </w:r>
    </w:p>
    <w:p w:rsidR="004F4757" w:rsidRDefault="004F4757">
      <w:pPr>
        <w:pStyle w:val="ConsPlusNormal"/>
        <w:jc w:val="center"/>
      </w:pPr>
    </w:p>
    <w:p w:rsidR="004F4757" w:rsidRDefault="004F4757">
      <w:pPr>
        <w:pStyle w:val="ConsPlusTitle"/>
        <w:jc w:val="center"/>
        <w:outlineLvl w:val="1"/>
      </w:pPr>
      <w:r>
        <w:t>I. Оценка реализации государственной политики</w:t>
      </w:r>
    </w:p>
    <w:p w:rsidR="004F4757" w:rsidRDefault="004F4757">
      <w:pPr>
        <w:pStyle w:val="ConsPlusTitle"/>
        <w:jc w:val="center"/>
      </w:pPr>
      <w:r>
        <w:t>по развитию конкуренции</w:t>
      </w:r>
    </w:p>
    <w:p w:rsidR="004F4757" w:rsidRDefault="004F4757">
      <w:pPr>
        <w:pStyle w:val="ConsPlusNormal"/>
        <w:ind w:firstLine="540"/>
        <w:jc w:val="both"/>
      </w:pPr>
    </w:p>
    <w:p w:rsidR="004F4757" w:rsidRDefault="004F4757">
      <w:pPr>
        <w:pStyle w:val="ConsPlusNormal"/>
        <w:ind w:firstLine="540"/>
        <w:jc w:val="both"/>
      </w:pPr>
      <w:hyperlink r:id="rId4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 определены 7 национальных целей развития Российской Федерации: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сохранение населения, укрепление здоровья и повышение благополучия людей, поддержка семьи;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реализация потенциала каждого человека, развитие его талантов, воспитание патриотичной и социально ответственной личности;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комфортная и безопасная среда для жизни;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экологическое благополучие;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устойчивая и динамичная экономика;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технологическое лидерство;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цифровая трансформация государственного и муниципального управления, экономики и социальной сферы.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Достижение указанных национальных целей развития Российской Федерации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развитие финансовой и налоговой системы, снижения административных и инфраструктурных барьеров до защиты прав граждан и региональной политики.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Конкурентная политика представляет собой комплекс последовательных мер, осуществляемых государством в целях обеспечения условий для конкуренции хозяйствующих субъектов, повышения эффективности и конкурентоспособности российской экономики, модернизации предприятий и создания условий для обеспечения экономически эффективным способом потребностей граждан в товарах и услугах.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Основными целями </w:t>
      </w:r>
      <w:hyperlink r:id="rId5">
        <w:r>
          <w:rPr>
            <w:color w:val="0000FF"/>
          </w:rPr>
          <w:t>Указа</w:t>
        </w:r>
      </w:hyperlink>
      <w:r>
        <w:t xml:space="preserve"> Президента Российской Федерации от 21 декабря 2017 г. N 618 "Об основных направлениях государственной политики по развитию конкуренции" являются повышение удовлетворенности потребителей, рост экономической эффективности и конкурентоспособности хозяйствующих субъектов, стабильные развитие и рост многоукладной экономики государства.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В целях реализации положений </w:t>
      </w:r>
      <w:hyperlink r:id="rId6">
        <w:r>
          <w:rPr>
            <w:color w:val="0000FF"/>
          </w:rPr>
          <w:t>Указа</w:t>
        </w:r>
      </w:hyperlink>
      <w:r>
        <w:t xml:space="preserve"> Президента Российской Федерации от 21 декабря 2017 г. N 618 "Об основных направлениях государственной политики по развитию конкуренции" принято распоряжение Правительства Российской Федерации от 2 сентября 2021 г. N 2424-р, утвердившее Национальный </w:t>
      </w:r>
      <w:hyperlink r:id="rId7">
        <w:r>
          <w:rPr>
            <w:color w:val="0000FF"/>
          </w:rPr>
          <w:t>план</w:t>
        </w:r>
      </w:hyperlink>
      <w:r>
        <w:t xml:space="preserve"> ("дорожную карту") развития конкуренции в Российской Федерации на 2021 - 2025 годы (далее - национальный план на 2021 - 2025 годы).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lastRenderedPageBreak/>
        <w:t xml:space="preserve">Национальным </w:t>
      </w:r>
      <w:hyperlink r:id="rId8">
        <w:r>
          <w:rPr>
            <w:color w:val="0000FF"/>
          </w:rPr>
          <w:t>планом</w:t>
        </w:r>
      </w:hyperlink>
      <w:r>
        <w:t xml:space="preserve"> на 2021 - 2025 годы предусмотрено 49 системных и отраслевых мероприятий (включая разработку федеральных законов и нормативных актов Правительства Российской Федерации), в исполнении которых задействованы 23 федеральных органа исполнительной власти.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Кроме того, национальным </w:t>
      </w:r>
      <w:hyperlink r:id="rId9">
        <w:r>
          <w:rPr>
            <w:color w:val="0000FF"/>
          </w:rPr>
          <w:t>планом</w:t>
        </w:r>
      </w:hyperlink>
      <w:r>
        <w:t xml:space="preserve"> на 2021 - 2025 годы предусмотрено достижение 52 ожидаемых результатов в 15 отраслях экономики.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В соответствии с национальным </w:t>
      </w:r>
      <w:hyperlink r:id="rId10">
        <w:r>
          <w:rPr>
            <w:color w:val="0000FF"/>
          </w:rPr>
          <w:t>планом</w:t>
        </w:r>
      </w:hyperlink>
      <w:r>
        <w:t xml:space="preserve"> на 2021 - 2025 годы к 2025 году необходимо было обеспечить: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снижение доли организаций с государственным и муниципальным участием в 15 отраслях (сферах);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повышение численности занятых в сфере малого и среднего предпринимательства, включая индивидуальных предпринимателей, до не менее чем 25 млн. человек;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снижение доли закупок у единственного поставщика, осуществляемых акционерными обществами с государственным участием.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В 2025 году завершается реализация национального </w:t>
      </w:r>
      <w:hyperlink r:id="rId11">
        <w:r>
          <w:rPr>
            <w:color w:val="0000FF"/>
          </w:rPr>
          <w:t>плана</w:t>
        </w:r>
      </w:hyperlink>
      <w:r>
        <w:t xml:space="preserve"> на 2021 - 2025 годы.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В настоящее время обеспечено выполнение следующих мероприятий: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всеми субъектами Российской Федерации, за исключением новых регионов, утверждены "дорожные карты" по содействию развитию конкуренции;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распоряжением Правительства Российской Федерации от 23 декабря 2022 г. N 4140-р утвержден </w:t>
      </w:r>
      <w:hyperlink r:id="rId12">
        <w:r>
          <w:rPr>
            <w:color w:val="0000FF"/>
          </w:rPr>
          <w:t>план</w:t>
        </w:r>
      </w:hyperlink>
      <w:r>
        <w:t xml:space="preserve"> мероприятий ("дорожная карта") развития организованной (биржевой) торговли на отдельных товарных рынках на 2023 - 2025 годы;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распоряжением Правительства Российской Федерации от 27 сентября 2021 г. N 2689-р утверждена </w:t>
      </w:r>
      <w:hyperlink r:id="rId13">
        <w:r>
          <w:rPr>
            <w:color w:val="0000FF"/>
          </w:rPr>
          <w:t>Концепция</w:t>
        </w:r>
      </w:hyperlink>
      <w:r>
        <w:t xml:space="preserve"> развития оптовых продовольственных рынков в Российской Федерации;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определен состав имущества, не используемого для реализации функций и полномочий органов государственной власти субъектов Российской Федерации и органов местного самоуправления;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подготовлены и направлены в Правительство Российской Федерации предложения по результатам анализа отраслевых документов стратегического планирования (оценка достаточности мер по развитию конкуренции);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обеспечена деятельность Международного центра конкурентного права и политики БРИКС в 2023 - 2025 годах.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В сфере здравоохранения проведена работа по определению взаимозаменяемости для 70,45 процента лекарственных препаратов для медицинского применения, что позволило обеспечить российских потребителей лекарственными средствами в достаточном количестве по доступным ценам.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В сфере образования в 76 субъектах Российской Федерации функционируют частные образовательные организации, реализующие образовательные программы дошкольного образования, и в 75 регионах - частные образовательные организации, реализующие основные общеобразовательные программы.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В 2024 году 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 государственном (муниципальном) социальном заказе на оказание государственных (муниципальных) услуг в социальной сфере" в </w:t>
      </w:r>
      <w:r>
        <w:lastRenderedPageBreak/>
        <w:t>субъектах Российской Федерации продолжалась работа по персонифицированному финансированию в системе дополнительного образования детей с применением социального сертификата на реализацию дополнительных общеразвивающих программ. Одним из основных принципов системы персонифицированного финансирования дополнительного образования детей является обеспечение равного доступа к бюджетному финансированию организаций, осуществляющих образовательную деятельность по дополнительным общеобразовательным программам, вне зависимости от их организационно-правовой формы.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Социальный сертификат предоставляет возможность детям (не менее 25 процентов детей, с 2025 года - не менее 30 процентов детей), проживающим в субъекте Российской Федерации, обучаться минимум по одной общеразвивающей программе или частично оплачивать обучение в случае, если его стоимость превышает утвержденный норматив. Кроме того, дети могут посещать организации дополнительного образования, которые финансируются за счет государственного (муниципального) задания в субъектах Российской Федерации. Указанные виды услуг для детей бесплатны. По итогам 2024 года в субъектах Российской Федерации, внедривших систему персонифицированного финансирования дополнительного образования детей, выдано более 13,2 млн. сертификатов дополнительного образования (охват составляет 57,2 процента общего числа детей в возрасте от 5 до 18 лет, проживающих в Российской Федерации).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В электроэнергетике законодательно определен с 1 января 2023 г. переход к установлению цен (тарифов) на услуги по передаче электрической энергии только в форме долгосрочных цен (тарифов) со сроком действия не менее 5 лет и возможностью заключения сетевыми организациями и субъектами Российской Федерации регуляторных соглашений в порядке и на условиях, которые определяются Правительством Российской Федерации, а также приняты меры по внедрению механизма дифференцированных тарифов для населения по объемам потребления в субъектах Российской Федерации.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Также проведена работа по совершенствованию механизма антимонопольного контроля на оптовом рынке электрической энергии и мощности посредством принятия методики экономически обоснованных затрат ценовых заявок генераторов.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В сфере связи утверждены методические рекомендации по установлению цен (тарифов) на услуги по предоставлению доступа к инфраструктуре для размещения сетей электросвязи, которые отражают практику рассмотрения антимонопольных дел и направлены на обеспечение формирования экономически обоснованных цен на размещение сетей связи на объектах инфраструктуры (линейно-кабельные сооружения, опоры) и предотвращение нарушения антимонопольного законодательства.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Прекращено взимание операторами сотовой связи платы за предоставление возможности распределения интернет-трафика с мобильных устройств (</w:t>
      </w:r>
      <w:proofErr w:type="spellStart"/>
      <w:r>
        <w:t>тетеринг</w:t>
      </w:r>
      <w:proofErr w:type="spellEnd"/>
      <w:r>
        <w:t>). Обеспечена возможность существенного снижения (прекращения взимания) платы за роуминг для абонентов в Республике Крым. Также компанией - оператором связи добровольно принято решение о прекращении взимания дополнительной платы за роуминг для абонентов в Республике Крым, которые приезжают в другие субъекты Российской Федерации.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Таким образом, принятые на федеральном и региональном уровнях, в том числе в рамках реализации "дорожных карт" по развитию конкуренции, меры, направленные на поддержку и защиту бизнеса в целях стимулирования экономического роста на внутренних рынках и повышения объема инвестиций, обеспечили восстановление экономики Российской Федерации и высокую динамику ее развития. При этом вопросы антимонопольного регулирования и поддержания конкурентной среды в изменяющихся социально-экономических условиях, в том числе в условиях цифровой трансформации экономики, сохраняют свою актуальность.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Настоящий национальный план определяет конкретные мероприятия для достижения целей, определенных </w:t>
      </w:r>
      <w:hyperlink r:id="rId15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2024 г. N 309 "О национальных </w:t>
      </w:r>
      <w:r>
        <w:lastRenderedPageBreak/>
        <w:t>целях развития Российской Федерации на период до 2030 года и на перспективу до 2036 года".</w:t>
      </w:r>
    </w:p>
    <w:p w:rsidR="004F4757" w:rsidRDefault="004F4757">
      <w:pPr>
        <w:pStyle w:val="ConsPlusNormal"/>
        <w:ind w:firstLine="540"/>
        <w:jc w:val="both"/>
      </w:pPr>
    </w:p>
    <w:p w:rsidR="004F4757" w:rsidRDefault="004F4757">
      <w:pPr>
        <w:pStyle w:val="ConsPlusTitle"/>
        <w:jc w:val="center"/>
        <w:outlineLvl w:val="1"/>
      </w:pPr>
      <w:r>
        <w:t>II. Задачи и ключевые показатели развития конкуренции</w:t>
      </w:r>
    </w:p>
    <w:p w:rsidR="004F4757" w:rsidRDefault="004F4757">
      <w:pPr>
        <w:pStyle w:val="ConsPlusNormal"/>
        <w:ind w:firstLine="540"/>
        <w:jc w:val="both"/>
      </w:pPr>
    </w:p>
    <w:p w:rsidR="004F4757" w:rsidRDefault="004F4757">
      <w:pPr>
        <w:pStyle w:val="ConsPlusNormal"/>
        <w:ind w:firstLine="540"/>
        <w:jc w:val="both"/>
      </w:pPr>
      <w:r>
        <w:t>Задачи настоящего национального плана определяются целями обеспечения экономического роста и необходимостью преодоления барьеров, сдерживающих развитие российской экономики, и включают в себя: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повышение экономической эффективности и конкурентоспособности хозяйствующих субъектов, развитие малого и среднего предпринимательства;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улучшение условий функционирования товарных рынков, в том числе за счет снижения барьеров для поставщиков и потребителей товаров, работ и услуг, упрощения доступа к информации, необходимой для осуществления предпринимательской деятельности;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повышение инновационной активности хозяйствующих субъектов, развитие рынков высокотехнологичной продукции;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обеспечение системного планирования и реализации мероприятий по развитию конкуренции на основе мониторинга состояния конкуренции на товарных рынках;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расширение мер стимулирования добросовестного поведения участников экономических отношений;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обеспечение эффективного и прозрачного управления государственной и муниципальной собственностью;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поддержание конкуренции на торгах и стабильности функционирования системы государственных закупок, а также контроль за обеспечением равного доступа к государственным и муниципальным ресурсам;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создание благоприятной конкурентной среды на финансовом рынке;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расширение и повышение эффективности международного сотрудничества, направленного на обеспечение защиты и развития конкуренции.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В целях контроля выполнения поставленных задач и достижения целей совершенствования государственной политики по развитию конкуренции устанавливаются следующие ключевые показатели развития конкуренции &lt;*&gt;: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&lt;*&gt; Методика расчета ключевых показателей утверждается федеральным антимонопольным органом.</w:t>
      </w:r>
    </w:p>
    <w:p w:rsidR="004F4757" w:rsidRDefault="004F4757">
      <w:pPr>
        <w:pStyle w:val="ConsPlusNormal"/>
        <w:ind w:firstLine="540"/>
        <w:jc w:val="both"/>
      </w:pPr>
    </w:p>
    <w:p w:rsidR="004F4757" w:rsidRDefault="004F4757">
      <w:pPr>
        <w:pStyle w:val="ConsPlusNormal"/>
        <w:ind w:firstLine="540"/>
        <w:jc w:val="both"/>
      </w:pPr>
      <w:r>
        <w:t xml:space="preserve">рост совокупной удовлетворенности участников рынка (в сферах экономики, указанных в </w:t>
      </w:r>
      <w:hyperlink w:anchor="P96">
        <w:r>
          <w:rPr>
            <w:color w:val="0000FF"/>
          </w:rPr>
          <w:t>разделе III</w:t>
        </w:r>
      </w:hyperlink>
      <w:r>
        <w:t>) - не менее 12 процентов к 2030 году;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>рост показателя деловой активности организаций к 2030 году - значение показателя, превышающее значение аналогичного показателя в 2025 году;</w:t>
      </w:r>
    </w:p>
    <w:p w:rsidR="004F4757" w:rsidRDefault="004F4757">
      <w:pPr>
        <w:pStyle w:val="ConsPlusNormal"/>
        <w:spacing w:before="220"/>
        <w:ind w:firstLine="540"/>
        <w:jc w:val="both"/>
      </w:pPr>
      <w:r>
        <w:t xml:space="preserve">количество жалоб на закупки в рамках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"О закупках товаров, работ, услуг отдельными видами юридических лиц", поданных в электронной форме (за исключением закупок, размещение которых не предусмотрено на официальном сайте единой информационной системы в сфере закупок товаров, работ, услуг для обеспечения государственных и муниципальных нужд), - к 2030 году в объеме 100 процентов.</w:t>
      </w:r>
    </w:p>
    <w:p w:rsidR="004F4757" w:rsidRDefault="004F4757">
      <w:pPr>
        <w:pStyle w:val="ConsPlusNormal"/>
        <w:ind w:firstLine="540"/>
        <w:jc w:val="both"/>
      </w:pPr>
    </w:p>
    <w:p w:rsidR="004F4757" w:rsidRDefault="004F4757">
      <w:pPr>
        <w:pStyle w:val="ConsPlusTitle"/>
        <w:jc w:val="center"/>
        <w:outlineLvl w:val="1"/>
      </w:pPr>
      <w:bookmarkStart w:id="2" w:name="P96"/>
      <w:bookmarkEnd w:id="2"/>
      <w:r>
        <w:t>III. Мероприятия национального плана</w:t>
      </w:r>
    </w:p>
    <w:p w:rsidR="004F4757" w:rsidRDefault="004F475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3370"/>
        <w:gridCol w:w="1686"/>
        <w:gridCol w:w="1179"/>
        <w:gridCol w:w="2325"/>
      </w:tblGrid>
      <w:tr w:rsidR="004F4757">
        <w:tc>
          <w:tcPr>
            <w:tcW w:w="3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F4757" w:rsidRDefault="004F4757">
            <w:pPr>
              <w:pStyle w:val="ConsPlusNormal"/>
              <w:jc w:val="center"/>
            </w:pPr>
            <w:r>
              <w:t>Мероприятие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4F4757" w:rsidRDefault="004F4757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4F4757" w:rsidRDefault="004F4757">
            <w:pPr>
              <w:pStyle w:val="ConsPlusNormal"/>
              <w:jc w:val="center"/>
            </w:pPr>
            <w:r>
              <w:t xml:space="preserve">Срок исполнения </w:t>
            </w:r>
            <w:hyperlink w:anchor="P353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I. Общеотраслевые мероприятия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Организация проведения ежегодных комплексных мероприятий, направленных на выявление и пресечение картелей и иных ограничивающих конкуренцию соглашений в сфере реализации национальных проектов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ежегодно, не позднее 15 марта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Установление превентивных механизмов воздействия в целях пресечения действий (бездействия), которые содержат признаки нарушения правил (порядка обеспечения) недискриминационного доступа, порядка подключения (технологического присоединения)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 июля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Разработка и утверждение плана работы по созданию биржи БРИКС в целях развития взаимной биржевой торговли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 июля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Минэкономразвития России,</w:t>
            </w:r>
          </w:p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Минсельхоз России,</w:t>
            </w:r>
          </w:p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 при участии Банка России и заинтересованных организаций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 xml:space="preserve">Внедрение федеральной государственной информационной системы "Единая информационно-аналитическая система тарифного регулирования" в работу исполнительных органов субъектов Российской Федерации, уполномоченных на осуществление государственного регулирования и контроля (надзора) за соблюдением законодательства Российской Федерации в сфере </w:t>
            </w:r>
            <w:r>
              <w:lastRenderedPageBreak/>
              <w:t>государственного регулирования цен (тарифов) на товары (услуги)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 декабря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Определение единых подходов тарифного регулирования, в том числе единого порядка автоматизации функций (процессов) в области государственного регулирования цен (тарифов), в том числе в части установления, применения, изменения, отмены, наблюдения за соблюдением обязательных требований в области государственного регулирования цен (тарифов), раскрытия информации, осуществления государственного контроля (надзора) в сферах регулируемой деятельности, взаимодействия федерального органа регулирования, исполнительных органов субъектов Российской Федерации и регулируемых субъектов посредством федеральной государственной информационной системы "Единая информационно-аналитическая система тарифного регулирования"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25 января 2027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 xml:space="preserve">Развитие и расширение направлений сотрудничества с антимонопольными органами стран БРИКС и государств - членов Шанхайской организации сотрудничества с целью обмена опытом и выработки согласованных подходов в сфере антимонопольного регулирования и поддержания эффективной конкуренции, в том числе на социально значимых рынках, в целях повышения </w:t>
            </w:r>
            <w:proofErr w:type="gramStart"/>
            <w:r>
              <w:t>эффективности</w:t>
            </w:r>
            <w:proofErr w:type="gramEnd"/>
            <w:r>
              <w:t xml:space="preserve"> реализуемой в Российской Федерации конкурентной политики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ежегодно, не позднее 10 декабря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 xml:space="preserve">Подготовка предложений по формированию единой интерактивной карты рекламных конструкций, содержащей сведения о местах размещения рекламных конструкций, об их </w:t>
            </w:r>
            <w:r>
              <w:lastRenderedPageBreak/>
              <w:t>типах, о видах, реквизитах и сроках действия разрешений на установку и эксплуатацию рекламных конструкций, а также о хозяйствующих субъектах, которым выданы такие разрешения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25 января 2027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Актуализация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15 февраля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Внедрение государственной информационной системы по предупреждению, выявлению и пресечению ограничивающих конкуренцию соглашений в работу антимонопольных органов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31 января 2029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II. Сфера агропромышленного комплекса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Оценка возможности реализации пилотного проекта по продаже на организованных торгах продукции из водных биологических ресурсов в целях апробации механизма организованных торгов применительно к такому виду продукции, включающего в себя в том числе установление минимального объема товаров, реализуемых и приобретаемых на организованных торгах, применение цифровых логистических платформенных решений для доставки рыбной продукции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29 января 2027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Минсельхоз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Росрыболовство</w:t>
            </w:r>
            <w:proofErr w:type="spellEnd"/>
            <w:r>
              <w:t xml:space="preserve"> при участии Банка России и заинтересованных организаций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Обеспечение создания и функционирования цифрового сервиса по подбору земельных участков для осуществления сельскохозяйственной деятельности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 июля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Минсельхоз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Росреестр</w:t>
            </w:r>
            <w:proofErr w:type="spellEnd"/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III. Сфера информационных технологий и телекоммуникации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 xml:space="preserve">Обеспечение распространения запретов на осуществление </w:t>
            </w:r>
            <w:r>
              <w:lastRenderedPageBreak/>
              <w:t>монополистической деятельности на информационную систему, и (или) сайт в информационно-телекоммуникационной сети "Интернет", и (или) программы для электронных вычислительных машин, которые обеспечивают технические, организационные, информационные и иные возможности для взаимодействия неограниченного круга лиц, в том числе в целях обмена информацией и ее распространения, продажи товаров, выполнения работ, оказания услуг, за исключением цифровых платформ, обеспечивающих совершение сделок между продавцами и покупателями определенных товаров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24 января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Распространение возможности принудительного разделения или выделения коммерческих организаций, а также некоммерческих организаций, осуществляющих деятельность, приносящую им доход в случае систематического осуществления монополистической деятельности, на цифровые платформы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24 января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по созданию и функционированию единого государственного информационного портала, содержащего сведения о спросе и предложениях по инновационной, высокотехнологичной продукции и технологиям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9 декабря 2027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IV. Сфера финансовых рынков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Обеспечение конкурентного доступа кредитных организаций к программам субсидирования путем возмещения выпадающих доходов по кредитам, выданным по льготным процентным ставкам (на основе заявительного характера)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4 декабря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ФАС 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Обеспечение недискриминационных процентных ставок по текущим счетам и срочным вкладам пенсионеров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8 декабря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ФАС 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Включение представителей Банка России в состав комиссий по рассмотрению дел о нарушениях антимонопольного законодательства в отношении субъектов национальной платежной системы, а также поднадзорных Банку России хозяйствующих субъектов, не являющихся финансовыми организациями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 декабря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Актуализация перечня финансовых организаций, поднадзорных Банку России, в целях осуществления антимонопольного контроля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 декабря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об установлении компетенции Банка России на согласование условий и порядка признания доминирующим положения в отношении субъектов национальной платежной системы, а также поднадзорных Банку России хозяйствующих субъектов, не являющихся финансовыми организациями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25 января 2027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по усилению ответственности финансовых организаций за нарушение требований законодательства о рекламе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31 января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Минэкономразвития 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по усилению ответственности финансовых организаций за нарушение требований антимонопольного законодательства, а также совершенствование механизма выдачи предупреждений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6 декабря 2027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Минэкономразвития 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 xml:space="preserve">Подготовка предложений по установлению возможности признания коллективного </w:t>
            </w:r>
            <w:r>
              <w:lastRenderedPageBreak/>
              <w:t>доминирования финансовых организаций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lastRenderedPageBreak/>
              <w:t xml:space="preserve">доклад в Правительство Российской </w:t>
            </w:r>
            <w:r>
              <w:lastRenderedPageBreak/>
              <w:t>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lastRenderedPageBreak/>
              <w:t>8 декабря 2027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 xml:space="preserve">Минэкономразвития </w:t>
            </w:r>
            <w:r>
              <w:lastRenderedPageBreak/>
              <w:t>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по созданию специального механизма конкурентного распределения невостребованных денежных средств физических лиц на текущих счетах и срочных вкладах в кредитных организациях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31 января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Анализ нарушения требований законодательства при рекламировании финансовых услуг, осуществляемом физическими лицами - лидерами общественного мнения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31 января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Исключение преимущественного доступа отдельных кредитных организаций к возможности открытия специальных избирательных счетов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4 декабря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 при участии Банка России,</w:t>
            </w:r>
          </w:p>
          <w:p w:rsidR="004F4757" w:rsidRDefault="004F4757">
            <w:pPr>
              <w:pStyle w:val="ConsPlusNormal"/>
            </w:pPr>
            <w:r>
              <w:t>Центральной избирательной комиссии Российской Федерации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по исключению преимущественного доступа отдельных кредитных организаций к услугам по перечислению гражданам ряда социальных выплат, для которых установлен специальный порядок их осуществления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6 декабря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по совершенствованию процедур погашения ранее предоставленного кредита и оформления залога по новому кредиту в целях снижения затрат заемщиков в рамках рефинансирования ипотечных кредитов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4 декабря 2028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Минэкономразвития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Росреестр</w:t>
            </w:r>
            <w:proofErr w:type="spellEnd"/>
            <w:r>
              <w:t xml:space="preserve"> при участии Банка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V. Сфера здравоохранения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 xml:space="preserve">Обеспечение стимулирования заказчиков, осуществляющих закупки в рамках Федерального </w:t>
            </w:r>
            <w:hyperlink r:id="rId17">
              <w:r>
                <w:rPr>
                  <w:color w:val="0000FF"/>
                </w:rPr>
                <w:t>закона</w:t>
              </w:r>
            </w:hyperlink>
            <w:r>
              <w:t xml:space="preserve"> "О закупках товаров, работ, услуг отдельными видами юридических лиц", при закупке медицинских изделий в описании </w:t>
            </w:r>
            <w:r>
              <w:lastRenderedPageBreak/>
              <w:t>предмета закупки использовать технические и функциональные характеристики товара в соответствии с каталогом товаров, работ, услуг для обеспечения государственных и муниципальных нужд (при наличии)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 марта 2027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Минздрав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VI. Сфера транспорта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по обеспечению совершенствования нормативных правовых актов, регулирующих деятельность в сфере транспорта, в целях создания равных условий деятельности для организаций частной формы собственности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7 декабря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Минтранс России,</w:t>
            </w:r>
          </w:p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VII. Сфера промышленности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по обеспечению равного доступа как дилеров, так и независимых станций технического обслуживания к актуальной информации, необходимой для ремонта и обслуживания транспортных средств путем разработки соответствующего механизма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 октября 2026 г., далее - ежегодно до вступления в действие соответствующего механизма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4F4757" w:rsidRDefault="004F4757">
            <w:pPr>
              <w:pStyle w:val="ConsPlusNormal"/>
            </w:pPr>
            <w:r>
              <w:t>Минэкономразвития России,</w:t>
            </w:r>
          </w:p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Проработка комплекса мер, направленных на недискриминационный доступ потребителей к автотранспортным средствам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 с проектом нормативного правового акта (при необходимости)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 октября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4F4757" w:rsidRDefault="004F4757">
            <w:pPr>
              <w:pStyle w:val="ConsPlusNormal"/>
            </w:pPr>
            <w:r>
              <w:t>Минэкономразвития России,</w:t>
            </w:r>
          </w:p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Роспотребнадзор</w:t>
            </w:r>
            <w:proofErr w:type="spellEnd"/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Обеспечение развития прямых (онлайн) продаж автотранспортных средств населению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9 ноября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4F4757" w:rsidRDefault="004F4757">
            <w:pPr>
              <w:pStyle w:val="ConsPlusNormal"/>
            </w:pPr>
            <w:r>
              <w:t>Минэкономразвития России,</w:t>
            </w:r>
          </w:p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VIII. Сфера торговли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 xml:space="preserve">Анализ практики размещения объектов нестационарной торговли в целях рассмотрения вопроса о необходимости </w:t>
            </w:r>
            <w:r>
              <w:lastRenderedPageBreak/>
              <w:t>внесения изменений в законодательство Российской Федерации и подготовки предложений по развитию конкуренции в указанной сфере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18 января 2027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IX. Сфера туризма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Подготовка предложений по созданию и обеспечению функционирования единого информационного портала о туристическом потенциале субъектов Российской Федерации, об инфраструктуре и организациях, оказывающих туристические услуги, независимо от формы собственности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 с проектом нормативного правового акта (при необходимости)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25 ноября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Минэкономразвития России,</w:t>
            </w:r>
          </w:p>
          <w:p w:rsidR="004F4757" w:rsidRDefault="004F4757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Организация обмена лучшими практиками по развитию туризма в субъектах Российской Федерации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ежегодно, не позднее 25 ноября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Минэкономразвития России,</w:t>
            </w:r>
          </w:p>
          <w:p w:rsidR="004F4757" w:rsidRDefault="004F4757">
            <w:pPr>
              <w:pStyle w:val="ConsPlusNormal"/>
            </w:pPr>
            <w:r>
              <w:t>ФАС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Организация и проведение обучающих мероприятий для органов власти и местного самоуправления в сфере оказания туристических услуг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ежегодно, не позднее 25 ноября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Минэкономразвития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  <w:outlineLvl w:val="2"/>
            </w:pPr>
            <w:r>
              <w:t>X. Сфера закупок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Обеспечение размещения информации о закупках у взаимозависимых лиц в единой информационной системе в сфере закупок товаров, работ, услуг для обеспечения государственных и муниципальных нужд в целях анализа прозрачности проведения закупочных процедур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доклад в Правительство Российской Федерации с проектом концепции федерального закона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1 июля 2026 г.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Казначейство России</w:t>
            </w:r>
          </w:p>
        </w:tc>
      </w:tr>
      <w:tr w:rsidR="004F475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757" w:rsidRDefault="004F4757">
            <w:pPr>
              <w:pStyle w:val="ConsPlusNormal"/>
            </w:pPr>
            <w:r>
              <w:t>Введение механизма электронного обжалования закупок, осуществляемых отдельными видами юридических лиц, включая блокирование заключения договора на период рассмотрения жалобы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757" w:rsidRDefault="004F475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757" w:rsidRDefault="004F4757">
            <w:pPr>
              <w:pStyle w:val="ConsPlusNormal"/>
              <w:jc w:val="center"/>
            </w:pPr>
            <w:r>
              <w:t>3 июля 2028 г.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757" w:rsidRDefault="004F4757">
            <w:pPr>
              <w:pStyle w:val="ConsPlusNormal"/>
            </w:pPr>
            <w:r>
              <w:t>ФАС России,</w:t>
            </w:r>
          </w:p>
          <w:p w:rsidR="004F4757" w:rsidRDefault="004F4757">
            <w:pPr>
              <w:pStyle w:val="ConsPlusNormal"/>
            </w:pPr>
            <w:r>
              <w:t>Минфин России,</w:t>
            </w:r>
          </w:p>
          <w:p w:rsidR="004F4757" w:rsidRDefault="004F4757">
            <w:pPr>
              <w:pStyle w:val="ConsPlusNormal"/>
            </w:pPr>
            <w:r>
              <w:t>Казначейство России</w:t>
            </w:r>
          </w:p>
        </w:tc>
      </w:tr>
    </w:tbl>
    <w:p w:rsidR="004F4757" w:rsidRDefault="004F4757">
      <w:pPr>
        <w:pStyle w:val="ConsPlusNormal"/>
        <w:ind w:firstLine="540"/>
        <w:jc w:val="both"/>
      </w:pPr>
    </w:p>
    <w:p w:rsidR="004F4757" w:rsidRDefault="004F4757">
      <w:pPr>
        <w:pStyle w:val="ConsPlusNormal"/>
        <w:ind w:firstLine="540"/>
        <w:jc w:val="both"/>
      </w:pPr>
      <w:r>
        <w:t>--------------------------------</w:t>
      </w:r>
    </w:p>
    <w:p w:rsidR="004F4757" w:rsidRDefault="004F4757">
      <w:pPr>
        <w:pStyle w:val="ConsPlusNormal"/>
        <w:spacing w:before="220"/>
        <w:ind w:firstLine="540"/>
        <w:jc w:val="both"/>
      </w:pPr>
      <w:bookmarkStart w:id="3" w:name="P353"/>
      <w:bookmarkEnd w:id="3"/>
      <w:r>
        <w:t xml:space="preserve">&lt;*&gt; Для федеральных законов и актов Правительства Российской Федерации - срок внесения </w:t>
      </w:r>
      <w:r>
        <w:lastRenderedPageBreak/>
        <w:t>в Правительство Российской Федерации соответствующего проекта, для иных видов документов - срок их представления в Правительство Российской Федерации.</w:t>
      </w:r>
    </w:p>
    <w:p w:rsidR="004F4757" w:rsidRDefault="004F4757">
      <w:pPr>
        <w:pStyle w:val="ConsPlusNormal"/>
        <w:ind w:firstLine="540"/>
        <w:jc w:val="both"/>
      </w:pPr>
    </w:p>
    <w:p w:rsidR="004F4757" w:rsidRDefault="004F4757">
      <w:pPr>
        <w:pStyle w:val="ConsPlusNormal"/>
        <w:ind w:firstLine="540"/>
        <w:jc w:val="both"/>
      </w:pPr>
    </w:p>
    <w:p w:rsidR="004F4757" w:rsidRDefault="004F47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0E53" w:rsidRDefault="002D0E53"/>
    <w:sectPr w:rsidR="002D0E53" w:rsidSect="00645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57"/>
    <w:rsid w:val="002D0E53"/>
    <w:rsid w:val="004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72032-98F6-4F9A-B53A-7F745F02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7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47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47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2117&amp;dst=100026" TargetMode="External"/><Relationship Id="rId13" Type="http://schemas.openxmlformats.org/officeDocument/2006/relationships/hyperlink" Target="https://login.consultant.ru/link/?req=doc&amp;base=LAW&amp;n=396521&amp;dst=10001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2117&amp;dst=100026" TargetMode="External"/><Relationship Id="rId12" Type="http://schemas.openxmlformats.org/officeDocument/2006/relationships/hyperlink" Target="https://login.consultant.ru/link/?req=doc&amp;base=LAW&amp;n=480439&amp;dst=100013" TargetMode="External"/><Relationship Id="rId17" Type="http://schemas.openxmlformats.org/officeDocument/2006/relationships/hyperlink" Target="https://login.consultant.ru/link/?req=doc&amp;base=LAW&amp;n=4830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30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5796" TargetMode="External"/><Relationship Id="rId11" Type="http://schemas.openxmlformats.org/officeDocument/2006/relationships/hyperlink" Target="https://login.consultant.ru/link/?req=doc&amp;base=LAW&amp;n=502117&amp;dst=100026" TargetMode="External"/><Relationship Id="rId5" Type="http://schemas.openxmlformats.org/officeDocument/2006/relationships/hyperlink" Target="https://login.consultant.ru/link/?req=doc&amp;base=LAW&amp;n=285796" TargetMode="External"/><Relationship Id="rId15" Type="http://schemas.openxmlformats.org/officeDocument/2006/relationships/hyperlink" Target="https://login.consultant.ru/link/?req=doc&amp;base=LAW&amp;n=475991" TargetMode="External"/><Relationship Id="rId10" Type="http://schemas.openxmlformats.org/officeDocument/2006/relationships/hyperlink" Target="https://login.consultant.ru/link/?req=doc&amp;base=LAW&amp;n=502117&amp;dst=10002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75991&amp;dst=100007" TargetMode="External"/><Relationship Id="rId9" Type="http://schemas.openxmlformats.org/officeDocument/2006/relationships/hyperlink" Target="https://login.consultant.ru/link/?req=doc&amp;base=LAW&amp;n=502117&amp;dst=100026" TargetMode="External"/><Relationship Id="rId14" Type="http://schemas.openxmlformats.org/officeDocument/2006/relationships/hyperlink" Target="https://login.consultant.ru/link/?req=doc&amp;base=LAW&amp;n=508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4367</Words>
  <Characters>24898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Удалова Алена Юрьевна</cp:lastModifiedBy>
  <cp:revision>1</cp:revision>
  <dcterms:created xsi:type="dcterms:W3CDTF">2026-06-29T06:49:00Z</dcterms:created>
  <dcterms:modified xsi:type="dcterms:W3CDTF">2026-06-29T06:50:00Z</dcterms:modified>
</cp:coreProperties>
</file>