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264219" w:rsidRPr="00264219" w:rsidTr="00264219">
        <w:tc>
          <w:tcPr>
            <w:tcW w:w="9639" w:type="dxa"/>
            <w:gridSpan w:val="5"/>
          </w:tcPr>
          <w:p w:rsidR="00264219" w:rsidRPr="00264219" w:rsidRDefault="00264219" w:rsidP="00264219">
            <w:pPr>
              <w:jc w:val="center"/>
              <w:rPr>
                <w:b/>
                <w:sz w:val="22"/>
                <w:szCs w:val="22"/>
              </w:rPr>
            </w:pPr>
          </w:p>
          <w:p w:rsidR="00264219" w:rsidRPr="00264219" w:rsidRDefault="00264219" w:rsidP="00264219">
            <w:pPr>
              <w:ind w:left="-57"/>
              <w:jc w:val="center"/>
              <w:rPr>
                <w:b/>
                <w:spacing w:val="2"/>
                <w:sz w:val="28"/>
                <w:szCs w:val="28"/>
              </w:rPr>
            </w:pPr>
          </w:p>
          <w:p w:rsidR="00264219" w:rsidRPr="00264219" w:rsidRDefault="00264219" w:rsidP="00264219">
            <w:pPr>
              <w:ind w:left="-57"/>
              <w:jc w:val="center"/>
              <w:rPr>
                <w:b/>
                <w:spacing w:val="2"/>
                <w:sz w:val="32"/>
                <w:szCs w:val="32"/>
              </w:rPr>
            </w:pPr>
          </w:p>
        </w:tc>
      </w:tr>
      <w:tr w:rsidR="00264219" w:rsidRPr="00264219" w:rsidTr="00264219">
        <w:trPr>
          <w:trHeight w:val="524"/>
        </w:trPr>
        <w:tc>
          <w:tcPr>
            <w:tcW w:w="9639" w:type="dxa"/>
            <w:gridSpan w:val="5"/>
            <w:hideMark/>
          </w:tcPr>
          <w:p w:rsidR="00264219" w:rsidRPr="00264219" w:rsidRDefault="00264219" w:rsidP="00264219">
            <w:pPr>
              <w:tabs>
                <w:tab w:val="left" w:leader="underscore" w:pos="9639"/>
              </w:tabs>
              <w:jc w:val="center"/>
              <w:rPr>
                <w:b/>
                <w:sz w:val="28"/>
                <w:szCs w:val="28"/>
              </w:rPr>
            </w:pPr>
            <w:r w:rsidRPr="00264219">
              <w:rPr>
                <w:b/>
                <w:sz w:val="28"/>
                <w:szCs w:val="28"/>
              </w:rPr>
              <w:t xml:space="preserve">АДМИНИСТРАЦИЯ ГОРОДСКОГО ОКРУГА </w:t>
            </w:r>
          </w:p>
          <w:p w:rsidR="00264219" w:rsidRPr="00264219" w:rsidRDefault="00264219" w:rsidP="00264219">
            <w:pPr>
              <w:tabs>
                <w:tab w:val="left" w:leader="underscore" w:pos="9639"/>
              </w:tabs>
              <w:jc w:val="center"/>
              <w:rPr>
                <w:b/>
              </w:rPr>
            </w:pPr>
            <w:r w:rsidRPr="00264219">
              <w:rPr>
                <w:b/>
                <w:sz w:val="28"/>
                <w:szCs w:val="28"/>
              </w:rPr>
              <w:t>Верхняя Пышма</w:t>
            </w:r>
          </w:p>
          <w:p w:rsidR="00264219" w:rsidRPr="00264219" w:rsidRDefault="00264219" w:rsidP="00264219">
            <w:pPr>
              <w:jc w:val="center"/>
              <w:rPr>
                <w:b/>
                <w:spacing w:val="40"/>
                <w:sz w:val="34"/>
                <w:szCs w:val="34"/>
              </w:rPr>
            </w:pPr>
            <w:r w:rsidRPr="00264219">
              <w:rPr>
                <w:b/>
                <w:spacing w:val="80"/>
                <w:sz w:val="32"/>
                <w:szCs w:val="32"/>
              </w:rPr>
              <w:t>ПОСТАНОВЛЕНИЕ</w:t>
            </w:r>
          </w:p>
          <w:p w:rsidR="00264219" w:rsidRPr="00264219" w:rsidRDefault="00264219" w:rsidP="00264219">
            <w:pPr>
              <w:jc w:val="center"/>
              <w:rPr>
                <w:b/>
                <w:spacing w:val="40"/>
                <w:sz w:val="34"/>
                <w:szCs w:val="34"/>
              </w:rPr>
            </w:pPr>
            <w:r w:rsidRPr="00264219">
              <w:rPr>
                <w:noProof/>
              </w:rPr>
              <mc:AlternateContent>
                <mc:Choice Requires="wps">
                  <w:drawing>
                    <wp:anchor distT="0" distB="0" distL="114300" distR="114300" simplePos="0" relativeHeight="251659264" behindDoc="0" locked="0" layoutInCell="1" allowOverlap="1" wp14:anchorId="5774704F" wp14:editId="29056C27">
                      <wp:simplePos x="0" y="0"/>
                      <wp:positionH relativeFrom="column">
                        <wp:posOffset>267970</wp:posOffset>
                      </wp:positionH>
                      <wp:positionV relativeFrom="paragraph">
                        <wp:posOffset>46990</wp:posOffset>
                      </wp:positionV>
                      <wp:extent cx="5760085" cy="0"/>
                      <wp:effectExtent l="20320" t="27940" r="20320" b="196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Aj1UsX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264219" w:rsidRPr="00264219" w:rsidTr="00264219">
        <w:trPr>
          <w:trHeight w:val="524"/>
        </w:trPr>
        <w:tc>
          <w:tcPr>
            <w:tcW w:w="285" w:type="dxa"/>
            <w:vAlign w:val="bottom"/>
            <w:hideMark/>
          </w:tcPr>
          <w:p w:rsidR="00264219" w:rsidRPr="00264219" w:rsidRDefault="00264219" w:rsidP="00264219">
            <w:pPr>
              <w:tabs>
                <w:tab w:val="left" w:leader="underscore" w:pos="9639"/>
              </w:tabs>
              <w:rPr>
                <w:szCs w:val="28"/>
              </w:rPr>
            </w:pPr>
            <w:r w:rsidRPr="00264219">
              <w:rPr>
                <w:szCs w:val="28"/>
              </w:rPr>
              <w:t>от</w:t>
            </w:r>
          </w:p>
        </w:tc>
        <w:tc>
          <w:tcPr>
            <w:tcW w:w="1854" w:type="dxa"/>
            <w:tcBorders>
              <w:top w:val="nil"/>
              <w:left w:val="nil"/>
              <w:bottom w:val="single" w:sz="4" w:space="0" w:color="auto"/>
              <w:right w:val="nil"/>
            </w:tcBorders>
            <w:vAlign w:val="bottom"/>
            <w:hideMark/>
          </w:tcPr>
          <w:p w:rsidR="00264219" w:rsidRPr="00264219" w:rsidRDefault="00264219" w:rsidP="00264219">
            <w:pPr>
              <w:tabs>
                <w:tab w:val="left" w:leader="underscore" w:pos="9639"/>
              </w:tabs>
              <w:jc w:val="center"/>
              <w:rPr>
                <w:b/>
                <w:szCs w:val="28"/>
              </w:rPr>
            </w:pPr>
            <w:r w:rsidRPr="00264219">
              <w:fldChar w:fldCharType="begin"/>
            </w:r>
            <w:r w:rsidRPr="00264219">
              <w:instrText xml:space="preserve"> DOCPROPERTY  Рег.дата  \* MERGEFORMAT </w:instrText>
            </w:r>
            <w:r w:rsidRPr="00264219">
              <w:fldChar w:fldCharType="separate"/>
            </w:r>
            <w:r w:rsidRPr="00264219">
              <w:t xml:space="preserve"> </w:t>
            </w:r>
            <w:r w:rsidRPr="00264219">
              <w:fldChar w:fldCharType="end"/>
            </w:r>
            <w:r>
              <w:t>27.06.2017</w:t>
            </w:r>
          </w:p>
        </w:tc>
        <w:tc>
          <w:tcPr>
            <w:tcW w:w="428" w:type="dxa"/>
            <w:vAlign w:val="bottom"/>
            <w:hideMark/>
          </w:tcPr>
          <w:p w:rsidR="00264219" w:rsidRPr="00264219" w:rsidRDefault="00264219" w:rsidP="00264219">
            <w:pPr>
              <w:tabs>
                <w:tab w:val="left" w:leader="underscore" w:pos="9639"/>
              </w:tabs>
              <w:jc w:val="center"/>
              <w:rPr>
                <w:b/>
                <w:szCs w:val="28"/>
              </w:rPr>
            </w:pPr>
            <w:r w:rsidRPr="00264219">
              <w:rPr>
                <w:szCs w:val="28"/>
              </w:rPr>
              <w:t>№</w:t>
            </w:r>
          </w:p>
        </w:tc>
        <w:tc>
          <w:tcPr>
            <w:tcW w:w="570" w:type="dxa"/>
            <w:tcBorders>
              <w:top w:val="nil"/>
              <w:left w:val="nil"/>
              <w:bottom w:val="single" w:sz="4" w:space="0" w:color="auto"/>
              <w:right w:val="nil"/>
            </w:tcBorders>
            <w:vAlign w:val="bottom"/>
            <w:hideMark/>
          </w:tcPr>
          <w:p w:rsidR="00264219" w:rsidRPr="00264219" w:rsidRDefault="00264219" w:rsidP="00264219">
            <w:pPr>
              <w:tabs>
                <w:tab w:val="left" w:leader="underscore" w:pos="9639"/>
              </w:tabs>
              <w:jc w:val="center"/>
              <w:rPr>
                <w:b/>
                <w:szCs w:val="28"/>
              </w:rPr>
            </w:pPr>
            <w:r>
              <w:t>429</w:t>
            </w:r>
            <w:r w:rsidRPr="00264219">
              <w:fldChar w:fldCharType="begin"/>
            </w:r>
            <w:r w:rsidRPr="00264219">
              <w:instrText xml:space="preserve"> DOCPROPERTY  Рег.№  \* MERGEFORMAT </w:instrText>
            </w:r>
            <w:r w:rsidRPr="00264219">
              <w:fldChar w:fldCharType="separate"/>
            </w:r>
            <w:r w:rsidRPr="00264219">
              <w:t xml:space="preserve"> </w:t>
            </w:r>
            <w:r w:rsidRPr="00264219">
              <w:fldChar w:fldCharType="end"/>
            </w:r>
          </w:p>
        </w:tc>
        <w:tc>
          <w:tcPr>
            <w:tcW w:w="6502" w:type="dxa"/>
            <w:vAlign w:val="bottom"/>
          </w:tcPr>
          <w:p w:rsidR="00264219" w:rsidRPr="00264219" w:rsidRDefault="00264219" w:rsidP="00264219">
            <w:pPr>
              <w:tabs>
                <w:tab w:val="left" w:leader="underscore" w:pos="9639"/>
              </w:tabs>
              <w:jc w:val="center"/>
              <w:rPr>
                <w:b/>
                <w:szCs w:val="28"/>
              </w:rPr>
            </w:pPr>
          </w:p>
        </w:tc>
      </w:tr>
      <w:tr w:rsidR="00264219" w:rsidRPr="00264219" w:rsidTr="00264219">
        <w:trPr>
          <w:trHeight w:val="130"/>
        </w:trPr>
        <w:tc>
          <w:tcPr>
            <w:tcW w:w="9639" w:type="dxa"/>
            <w:gridSpan w:val="5"/>
          </w:tcPr>
          <w:p w:rsidR="00264219" w:rsidRPr="00264219" w:rsidRDefault="00264219" w:rsidP="00264219">
            <w:pPr>
              <w:rPr>
                <w:sz w:val="20"/>
                <w:szCs w:val="28"/>
              </w:rPr>
            </w:pPr>
          </w:p>
        </w:tc>
      </w:tr>
      <w:tr w:rsidR="00264219" w:rsidRPr="00264219" w:rsidTr="00264219">
        <w:tc>
          <w:tcPr>
            <w:tcW w:w="9639" w:type="dxa"/>
            <w:gridSpan w:val="5"/>
          </w:tcPr>
          <w:p w:rsidR="00264219" w:rsidRPr="00264219" w:rsidRDefault="00264219" w:rsidP="00264219">
            <w:pPr>
              <w:rPr>
                <w:sz w:val="20"/>
                <w:szCs w:val="28"/>
              </w:rPr>
            </w:pPr>
            <w:r w:rsidRPr="00264219">
              <w:rPr>
                <w:sz w:val="20"/>
                <w:szCs w:val="28"/>
              </w:rPr>
              <w:t>г. Верхняя Пышма</w:t>
            </w:r>
          </w:p>
          <w:p w:rsidR="00264219" w:rsidRPr="00264219" w:rsidRDefault="00264219" w:rsidP="00264219">
            <w:pPr>
              <w:rPr>
                <w:sz w:val="28"/>
                <w:szCs w:val="28"/>
              </w:rPr>
            </w:pPr>
          </w:p>
          <w:p w:rsidR="00264219" w:rsidRPr="00264219" w:rsidRDefault="00264219" w:rsidP="00264219">
            <w:pPr>
              <w:rPr>
                <w:sz w:val="28"/>
                <w:szCs w:val="28"/>
              </w:rPr>
            </w:pPr>
          </w:p>
        </w:tc>
      </w:tr>
      <w:tr w:rsidR="00264219" w:rsidRPr="00264219" w:rsidTr="00264219">
        <w:tc>
          <w:tcPr>
            <w:tcW w:w="9639" w:type="dxa"/>
            <w:gridSpan w:val="5"/>
            <w:hideMark/>
          </w:tcPr>
          <w:p w:rsidR="00264219" w:rsidRPr="00264219" w:rsidRDefault="00264219" w:rsidP="00264219">
            <w:pPr>
              <w:jc w:val="center"/>
              <w:rPr>
                <w:b/>
                <w:i/>
                <w:sz w:val="28"/>
                <w:szCs w:val="28"/>
              </w:rPr>
            </w:pPr>
            <w:r w:rsidRPr="00264219">
              <w:rPr>
                <w:b/>
                <w:i/>
                <w:sz w:val="28"/>
                <w:szCs w:val="28"/>
              </w:rPr>
              <w:t xml:space="preserve">О внесении изменений в административный регламент администрации городского округа Верхняя Пышма исполнения  муниципальной функции «Осуществление муниципального жилищного контроля соблюдения обязательных требований, установленных в отношении муниципального жилищного фонда федеральными законами, законами Свердловской области, муниципальными правовыми актами   городского округа Верхняя Пышма, утвержденный постановлением администрации городского округа Верхняя Пышма от 10.09.2012 № 1576 </w:t>
            </w:r>
          </w:p>
        </w:tc>
      </w:tr>
      <w:tr w:rsidR="00264219" w:rsidRPr="00264219" w:rsidTr="00264219">
        <w:tc>
          <w:tcPr>
            <w:tcW w:w="9639" w:type="dxa"/>
            <w:gridSpan w:val="5"/>
          </w:tcPr>
          <w:p w:rsidR="00264219" w:rsidRPr="00264219" w:rsidRDefault="00264219" w:rsidP="00264219">
            <w:pPr>
              <w:jc w:val="both"/>
              <w:rPr>
                <w:sz w:val="28"/>
                <w:szCs w:val="28"/>
              </w:rPr>
            </w:pPr>
          </w:p>
          <w:p w:rsidR="00264219" w:rsidRPr="00264219" w:rsidRDefault="00264219" w:rsidP="00264219">
            <w:pPr>
              <w:jc w:val="both"/>
              <w:rPr>
                <w:sz w:val="28"/>
                <w:szCs w:val="28"/>
              </w:rPr>
            </w:pPr>
          </w:p>
          <w:p w:rsidR="00264219" w:rsidRPr="00264219" w:rsidRDefault="00264219" w:rsidP="00264219">
            <w:pPr>
              <w:ind w:firstLine="709"/>
              <w:jc w:val="both"/>
              <w:rPr>
                <w:sz w:val="28"/>
                <w:szCs w:val="28"/>
              </w:rPr>
            </w:pPr>
            <w:r w:rsidRPr="00264219">
              <w:rPr>
                <w:sz w:val="28"/>
                <w:szCs w:val="28"/>
              </w:rPr>
              <w:t>На основании Протеста прокурора города Верхняя Пышма от 03.03.2017 № 02-19-2017, в целях приведения административного регламента в соответствие Федеральному закону от 26.12.2008 № 294-ФЗ «О защите прав юридических лиц и индивидуальных предпринимателей при осуществлении государственного (надзора) и муниципального контроля», руководствуясь Федеральным законом от 06.10.2003 № 131-ФЗ «Об общих принципах организации местного самоуправления в Российской Федерации», Уставом городского округа Верхняя Пышма, администрация городского округа Верхняя Пышма</w:t>
            </w:r>
          </w:p>
        </w:tc>
      </w:tr>
    </w:tbl>
    <w:p w:rsidR="00264219" w:rsidRPr="00264219" w:rsidRDefault="00264219" w:rsidP="00264219">
      <w:pPr>
        <w:widowControl w:val="0"/>
        <w:jc w:val="both"/>
        <w:rPr>
          <w:sz w:val="28"/>
          <w:szCs w:val="28"/>
        </w:rPr>
      </w:pPr>
      <w:r w:rsidRPr="00264219">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264219" w:rsidRPr="00264219" w:rsidTr="00264219">
        <w:trPr>
          <w:trHeight w:val="975"/>
        </w:trPr>
        <w:tc>
          <w:tcPr>
            <w:tcW w:w="9637" w:type="dxa"/>
            <w:gridSpan w:val="2"/>
            <w:vAlign w:val="bottom"/>
          </w:tcPr>
          <w:p w:rsidR="00264219" w:rsidRPr="00264219" w:rsidRDefault="00264219" w:rsidP="00264219">
            <w:pPr>
              <w:widowControl w:val="0"/>
              <w:autoSpaceDE w:val="0"/>
              <w:autoSpaceDN w:val="0"/>
              <w:adjustRightInd w:val="0"/>
              <w:ind w:firstLine="709"/>
              <w:jc w:val="both"/>
              <w:outlineLvl w:val="0"/>
              <w:rPr>
                <w:sz w:val="28"/>
                <w:szCs w:val="28"/>
              </w:rPr>
            </w:pPr>
            <w:bookmarkStart w:id="0" w:name="sub_1"/>
            <w:r w:rsidRPr="00264219">
              <w:rPr>
                <w:sz w:val="28"/>
                <w:szCs w:val="28"/>
              </w:rPr>
              <w:t>1. Внести в административный регламент администрации городского округа Верхняя Пышма исполнения муниципальной функции «Осуществление муниципального жилищного контроля соблюдения обязательных требований, установленных в отношении муниципального жилищного фонда федеральными законами, законами Свердловской области, муниципальными правовыми актами городского округа Верхняя Пышма», утвержденный постановлением администрации городского округа Верхняя Пышма от 10.09.2012 № 1576</w:t>
            </w:r>
            <w:r>
              <w:rPr>
                <w:sz w:val="28"/>
                <w:szCs w:val="28"/>
              </w:rPr>
              <w:t>,</w:t>
            </w:r>
            <w:bookmarkStart w:id="1" w:name="_GoBack"/>
            <w:bookmarkEnd w:id="1"/>
            <w:r w:rsidRPr="00264219">
              <w:rPr>
                <w:sz w:val="28"/>
                <w:szCs w:val="28"/>
              </w:rPr>
              <w:t xml:space="preserve"> следующие изменения:</w:t>
            </w:r>
          </w:p>
          <w:p w:rsidR="00264219" w:rsidRPr="00264219" w:rsidRDefault="00264219" w:rsidP="00264219">
            <w:pPr>
              <w:widowControl w:val="0"/>
              <w:autoSpaceDE w:val="0"/>
              <w:autoSpaceDN w:val="0"/>
              <w:adjustRightInd w:val="0"/>
              <w:ind w:firstLine="709"/>
              <w:jc w:val="both"/>
              <w:outlineLvl w:val="0"/>
              <w:rPr>
                <w:sz w:val="28"/>
                <w:szCs w:val="28"/>
              </w:rPr>
            </w:pPr>
            <w:r w:rsidRPr="00264219">
              <w:rPr>
                <w:sz w:val="28"/>
                <w:szCs w:val="28"/>
              </w:rPr>
              <w:t>1.1. в абзаце 2 пункта 1.3 исключить слова: «Управления городского хозяйства (подведомственного учреждения муниципальное казенное учреждение «Жилищно-коммунальное хозяйство»)»;</w:t>
            </w:r>
          </w:p>
          <w:p w:rsidR="00264219" w:rsidRPr="00264219" w:rsidRDefault="00264219" w:rsidP="00264219">
            <w:pPr>
              <w:widowControl w:val="0"/>
              <w:autoSpaceDE w:val="0"/>
              <w:autoSpaceDN w:val="0"/>
              <w:adjustRightInd w:val="0"/>
              <w:ind w:firstLine="709"/>
              <w:jc w:val="both"/>
              <w:outlineLvl w:val="0"/>
              <w:rPr>
                <w:sz w:val="28"/>
                <w:szCs w:val="28"/>
              </w:rPr>
            </w:pPr>
            <w:r w:rsidRPr="00264219">
              <w:rPr>
                <w:sz w:val="28"/>
                <w:szCs w:val="28"/>
              </w:rPr>
              <w:t xml:space="preserve">1.2. в абзаце 4 пункта 1.3 исключить слова: «начальник управления городского хозяйства (специалист подведомственного муниципального казенного </w:t>
            </w:r>
            <w:r w:rsidRPr="00264219">
              <w:rPr>
                <w:sz w:val="28"/>
                <w:szCs w:val="28"/>
              </w:rPr>
              <w:lastRenderedPageBreak/>
              <w:t>учреждения «Жилищно-коммунальное хозяйство»)»;</w:t>
            </w:r>
          </w:p>
          <w:p w:rsidR="00264219" w:rsidRPr="00264219" w:rsidRDefault="00264219" w:rsidP="00264219">
            <w:pPr>
              <w:autoSpaceDE w:val="0"/>
              <w:autoSpaceDN w:val="0"/>
              <w:adjustRightInd w:val="0"/>
              <w:ind w:firstLine="720"/>
              <w:jc w:val="both"/>
              <w:rPr>
                <w:sz w:val="28"/>
                <w:szCs w:val="28"/>
              </w:rPr>
            </w:pPr>
            <w:r w:rsidRPr="00264219">
              <w:rPr>
                <w:sz w:val="28"/>
                <w:szCs w:val="28"/>
              </w:rPr>
              <w:t>1.3. пункт 2.3.1 дополнить подпунктами «ж» и «з» в следующей редакции:</w:t>
            </w:r>
          </w:p>
          <w:p w:rsidR="00264219" w:rsidRPr="00264219" w:rsidRDefault="00264219" w:rsidP="00264219">
            <w:pPr>
              <w:autoSpaceDE w:val="0"/>
              <w:autoSpaceDN w:val="0"/>
              <w:adjustRightInd w:val="0"/>
              <w:ind w:firstLine="720"/>
              <w:jc w:val="both"/>
              <w:rPr>
                <w:sz w:val="28"/>
                <w:szCs w:val="28"/>
              </w:rPr>
            </w:pPr>
            <w:r w:rsidRPr="00264219">
              <w:rPr>
                <w:sz w:val="28"/>
                <w:szCs w:val="28"/>
              </w:rPr>
              <w:t>«ж)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из средств массовой информации о следующих фактах:</w:t>
            </w:r>
          </w:p>
          <w:p w:rsidR="00264219" w:rsidRPr="00264219" w:rsidRDefault="00264219" w:rsidP="00264219">
            <w:pPr>
              <w:autoSpaceDE w:val="0"/>
              <w:autoSpaceDN w:val="0"/>
              <w:adjustRightInd w:val="0"/>
              <w:ind w:firstLine="720"/>
              <w:jc w:val="both"/>
              <w:rPr>
                <w:sz w:val="28"/>
                <w:szCs w:val="28"/>
              </w:rPr>
            </w:pPr>
            <w:r w:rsidRPr="00264219">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угрозы чрезвычайных ситуаций природного и техногенного характера;</w:t>
            </w:r>
          </w:p>
          <w:p w:rsidR="00264219" w:rsidRPr="00264219" w:rsidRDefault="00264219" w:rsidP="00264219">
            <w:pPr>
              <w:autoSpaceDE w:val="0"/>
              <w:autoSpaceDN w:val="0"/>
              <w:adjustRightInd w:val="0"/>
              <w:ind w:firstLine="720"/>
              <w:jc w:val="both"/>
              <w:rPr>
                <w:sz w:val="28"/>
                <w:szCs w:val="28"/>
              </w:rPr>
            </w:pPr>
            <w:hyperlink r:id="rId8" w:history="1">
              <w:r w:rsidRPr="00264219">
                <w:rPr>
                  <w:sz w:val="28"/>
                  <w:szCs w:val="28"/>
                  <w:u w:val="single"/>
                </w:rPr>
                <w:t>-</w:t>
              </w:r>
            </w:hyperlink>
            <w:r w:rsidRPr="00264219">
              <w:rPr>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музейным предметам и музейным коллекциям, включенным в состав Музейного фонда, особо ценным, в том числе уникальным, документам Архивного фонда, документам, имеющим особое историческое, научное, культурное значение, входящим в состав библиотечного фонда, безопасности государства, а также возникновение чрезвычайных ситуаций природного и техногенного характера;</w:t>
            </w:r>
          </w:p>
          <w:p w:rsidR="00264219" w:rsidRPr="00264219" w:rsidRDefault="00264219" w:rsidP="00264219">
            <w:pPr>
              <w:autoSpaceDE w:val="0"/>
              <w:autoSpaceDN w:val="0"/>
              <w:adjustRightInd w:val="0"/>
              <w:ind w:firstLine="720"/>
              <w:jc w:val="both"/>
              <w:rPr>
                <w:sz w:val="28"/>
                <w:szCs w:val="28"/>
              </w:rPr>
            </w:pPr>
            <w:hyperlink r:id="rId9" w:history="1">
              <w:r w:rsidRPr="00264219">
                <w:rPr>
                  <w:sz w:val="28"/>
                  <w:szCs w:val="28"/>
                  <w:u w:val="single"/>
                </w:rPr>
                <w:t>-</w:t>
              </w:r>
            </w:hyperlink>
            <w:r w:rsidRPr="00264219">
              <w:rPr>
                <w:sz w:val="28"/>
                <w:szCs w:val="28"/>
              </w:rPr>
              <w:t xml:space="preserve"> нарушение прав потребителей (в случае обращения в орган, осуществляющий муниципальный контроль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264219" w:rsidRPr="00264219" w:rsidRDefault="00264219" w:rsidP="00264219">
            <w:pPr>
              <w:autoSpaceDE w:val="0"/>
              <w:autoSpaceDN w:val="0"/>
              <w:adjustRightInd w:val="0"/>
              <w:ind w:firstLine="720"/>
              <w:jc w:val="both"/>
              <w:rPr>
                <w:sz w:val="28"/>
                <w:szCs w:val="28"/>
              </w:rPr>
            </w:pPr>
            <w:r w:rsidRPr="00264219">
              <w:rPr>
                <w:sz w:val="28"/>
                <w:szCs w:val="28"/>
              </w:rPr>
              <w:t>з) выявление при проведении мероприятий без взаимодействия с юридическими лицами, индивидуальными предпринимателями при осуществлении видов муниципального контроля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муниципального контроля индикаторам риска является основанием для проведения внеплановой проверки;</w:t>
            </w:r>
          </w:p>
          <w:p w:rsidR="00264219" w:rsidRPr="00264219" w:rsidRDefault="00264219" w:rsidP="00264219">
            <w:pPr>
              <w:autoSpaceDE w:val="0"/>
              <w:autoSpaceDN w:val="0"/>
              <w:adjustRightInd w:val="0"/>
              <w:ind w:firstLine="720"/>
              <w:jc w:val="both"/>
              <w:rPr>
                <w:sz w:val="28"/>
                <w:szCs w:val="28"/>
              </w:rPr>
            </w:pPr>
            <w:bookmarkStart w:id="2" w:name="sub_8101"/>
            <w:r w:rsidRPr="00264219">
              <w:rPr>
                <w:sz w:val="28"/>
                <w:szCs w:val="28"/>
              </w:rPr>
              <w:t>В целях оптимального использования трудовых, материальных и финансовых ресурсов, задействованных при осуществлении муниципального контроля, снижения издержек юридических лиц, индивидуальных предпринимателей и повышения результативности своей деятельности органы муниципального контроля при организации отдельных видов муниципального контроля, определяемых Правительством Российской Федерации, применяют риск-ориентированный подход.</w:t>
            </w:r>
            <w:bookmarkEnd w:id="2"/>
          </w:p>
          <w:p w:rsidR="00264219" w:rsidRPr="00264219" w:rsidRDefault="00264219" w:rsidP="00264219">
            <w:pPr>
              <w:autoSpaceDE w:val="0"/>
              <w:autoSpaceDN w:val="0"/>
              <w:adjustRightInd w:val="0"/>
              <w:ind w:firstLine="720"/>
              <w:jc w:val="both"/>
              <w:rPr>
                <w:sz w:val="28"/>
                <w:szCs w:val="28"/>
              </w:rPr>
            </w:pPr>
            <w:r w:rsidRPr="00264219">
              <w:rPr>
                <w:sz w:val="28"/>
                <w:szCs w:val="28"/>
              </w:rPr>
              <w:lastRenderedPageBreak/>
              <w:t>Риск-ориентированный подход представляет собой метод организации и осуществления муниципального контроля, при котором в предусмотренных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264219" w:rsidRPr="00264219" w:rsidRDefault="00264219" w:rsidP="00264219">
            <w:pPr>
              <w:autoSpaceDE w:val="0"/>
              <w:autoSpaceDN w:val="0"/>
              <w:adjustRightInd w:val="0"/>
              <w:ind w:firstLine="720"/>
              <w:jc w:val="both"/>
              <w:rPr>
                <w:sz w:val="28"/>
                <w:szCs w:val="28"/>
              </w:rPr>
            </w:pPr>
            <w:r w:rsidRPr="00264219">
              <w:rPr>
                <w:sz w:val="28"/>
                <w:szCs w:val="28"/>
              </w:rPr>
              <w:t xml:space="preserve">1.4. Абзац 3 пункта 2.5.6 изложить в следующей редакции: </w:t>
            </w:r>
          </w:p>
          <w:p w:rsidR="00264219" w:rsidRPr="00264219" w:rsidRDefault="00264219" w:rsidP="00264219">
            <w:pPr>
              <w:autoSpaceDE w:val="0"/>
              <w:autoSpaceDN w:val="0"/>
              <w:adjustRightInd w:val="0"/>
              <w:ind w:firstLine="720"/>
              <w:jc w:val="both"/>
              <w:rPr>
                <w:sz w:val="28"/>
                <w:szCs w:val="28"/>
              </w:rPr>
            </w:pPr>
            <w:r w:rsidRPr="00264219">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городского округа, проводящих выездную плановую проверку, срок проведения выездной плановой проверки может быть продлен заместителем главы администрации по вопросам жилищно-коммунального хозяйства, транспорта и связи,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264219" w:rsidRPr="00264219" w:rsidRDefault="00264219" w:rsidP="00264219">
            <w:pPr>
              <w:ind w:firstLine="709"/>
              <w:jc w:val="both"/>
              <w:rPr>
                <w:sz w:val="28"/>
                <w:szCs w:val="28"/>
              </w:rPr>
            </w:pPr>
            <w:r w:rsidRPr="00264219">
              <w:rPr>
                <w:sz w:val="28"/>
                <w:szCs w:val="28"/>
              </w:rPr>
              <w:t xml:space="preserve">2. </w:t>
            </w:r>
            <w:bookmarkStart w:id="3" w:name="sub_2"/>
            <w:bookmarkEnd w:id="0"/>
            <w:r w:rsidRPr="00264219">
              <w:rPr>
                <w:sz w:val="28"/>
                <w:szCs w:val="28"/>
              </w:rPr>
              <w:t>Опубликовать настоящее постановление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 (</w:t>
            </w:r>
            <w:r w:rsidRPr="00264219">
              <w:rPr>
                <w:sz w:val="28"/>
                <w:szCs w:val="28"/>
                <w:lang w:val="en-US"/>
              </w:rPr>
              <w:t>movp</w:t>
            </w:r>
            <w:r w:rsidRPr="00264219">
              <w:rPr>
                <w:sz w:val="28"/>
                <w:szCs w:val="28"/>
              </w:rPr>
              <w:t>.</w:t>
            </w:r>
            <w:r w:rsidRPr="00264219">
              <w:rPr>
                <w:sz w:val="28"/>
                <w:szCs w:val="28"/>
                <w:lang w:val="en-US"/>
              </w:rPr>
              <w:t>ru</w:t>
            </w:r>
            <w:r w:rsidRPr="00264219">
              <w:rPr>
                <w:sz w:val="28"/>
                <w:szCs w:val="28"/>
              </w:rPr>
              <w:t>).</w:t>
            </w:r>
            <w:bookmarkEnd w:id="3"/>
          </w:p>
          <w:p w:rsidR="00264219" w:rsidRPr="00264219" w:rsidRDefault="00264219" w:rsidP="00264219">
            <w:pPr>
              <w:ind w:firstLine="709"/>
              <w:jc w:val="both"/>
              <w:rPr>
                <w:sz w:val="28"/>
                <w:szCs w:val="28"/>
              </w:rPr>
            </w:pPr>
            <w:r w:rsidRPr="00264219">
              <w:rPr>
                <w:sz w:val="28"/>
                <w:szCs w:val="28"/>
              </w:rPr>
              <w:t>3. Контроль за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Невструева Н.В.</w:t>
            </w:r>
          </w:p>
          <w:p w:rsidR="00264219" w:rsidRPr="00264219" w:rsidRDefault="00264219" w:rsidP="00264219">
            <w:pPr>
              <w:ind w:firstLine="709"/>
              <w:jc w:val="both"/>
              <w:rPr>
                <w:sz w:val="28"/>
                <w:szCs w:val="28"/>
              </w:rPr>
            </w:pPr>
          </w:p>
          <w:p w:rsidR="00264219" w:rsidRPr="00264219" w:rsidRDefault="00264219" w:rsidP="00264219">
            <w:pPr>
              <w:jc w:val="right"/>
              <w:rPr>
                <w:sz w:val="28"/>
                <w:szCs w:val="28"/>
              </w:rPr>
            </w:pPr>
          </w:p>
        </w:tc>
      </w:tr>
      <w:tr w:rsidR="00264219" w:rsidRPr="00264219" w:rsidTr="00264219">
        <w:trPr>
          <w:trHeight w:val="630"/>
        </w:trPr>
        <w:tc>
          <w:tcPr>
            <w:tcW w:w="6273" w:type="dxa"/>
            <w:vAlign w:val="bottom"/>
          </w:tcPr>
          <w:p w:rsidR="00264219" w:rsidRPr="00264219" w:rsidRDefault="00264219" w:rsidP="00264219">
            <w:pPr>
              <w:ind w:firstLine="709"/>
              <w:rPr>
                <w:sz w:val="28"/>
                <w:szCs w:val="28"/>
              </w:rPr>
            </w:pPr>
          </w:p>
          <w:p w:rsidR="00264219" w:rsidRPr="00264219" w:rsidRDefault="00264219" w:rsidP="00264219">
            <w:pPr>
              <w:ind w:right="2587"/>
              <w:rPr>
                <w:sz w:val="28"/>
                <w:szCs w:val="28"/>
              </w:rPr>
            </w:pPr>
            <w:r w:rsidRPr="00264219">
              <w:rPr>
                <w:sz w:val="28"/>
                <w:szCs w:val="28"/>
              </w:rPr>
              <w:t>Исполняющий полномочия главы администрации</w:t>
            </w:r>
          </w:p>
        </w:tc>
        <w:tc>
          <w:tcPr>
            <w:tcW w:w="3364" w:type="dxa"/>
            <w:vAlign w:val="bottom"/>
            <w:hideMark/>
          </w:tcPr>
          <w:p w:rsidR="00264219" w:rsidRPr="00264219" w:rsidRDefault="00264219" w:rsidP="00264219">
            <w:pPr>
              <w:jc w:val="right"/>
              <w:rPr>
                <w:sz w:val="28"/>
                <w:szCs w:val="28"/>
              </w:rPr>
            </w:pPr>
            <w:r w:rsidRPr="00264219">
              <w:rPr>
                <w:sz w:val="28"/>
                <w:szCs w:val="28"/>
              </w:rPr>
              <w:t>И.В. Соломин</w:t>
            </w:r>
          </w:p>
        </w:tc>
      </w:tr>
    </w:tbl>
    <w:p w:rsidR="00264219" w:rsidRPr="00264219" w:rsidRDefault="00264219" w:rsidP="00264219">
      <w:pPr>
        <w:snapToGrid w:val="0"/>
        <w:rPr>
          <w:rFonts w:ascii="Arial" w:hAnsi="Arial"/>
          <w:sz w:val="20"/>
          <w:szCs w:val="20"/>
        </w:rPr>
      </w:pPr>
    </w:p>
    <w:p w:rsidR="00562620" w:rsidRPr="00264219" w:rsidRDefault="00562620" w:rsidP="00264219"/>
    <w:sectPr w:rsidR="00562620" w:rsidRPr="00264219" w:rsidSect="005E551B">
      <w:headerReference w:type="default" r:id="rId10"/>
      <w:footerReference w:type="default" r:id="rId11"/>
      <w:headerReference w:type="first" r:id="rId12"/>
      <w:footerReference w:type="first" r:id="rId13"/>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6D" w:rsidRDefault="007F656D">
      <w:r>
        <w:separator/>
      </w:r>
    </w:p>
  </w:endnote>
  <w:endnote w:type="continuationSeparator" w:id="0">
    <w:p w:rsidR="007F656D" w:rsidRDefault="007F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6D" w:rsidRDefault="007F656D">
      <w:r>
        <w:separator/>
      </w:r>
    </w:p>
  </w:footnote>
  <w:footnote w:type="continuationSeparator" w:id="0">
    <w:p w:rsidR="007F656D" w:rsidRDefault="007F6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62166326" w:edGrp="everyone"/>
  <w:p w:rsidR="00AF0248" w:rsidRDefault="005A5CD6">
    <w:pPr>
      <w:pStyle w:val="a3"/>
      <w:jc w:val="center"/>
    </w:pPr>
    <w:r>
      <w:fldChar w:fldCharType="begin"/>
    </w:r>
    <w:r>
      <w:instrText xml:space="preserve"> PAGE   \* MERGEFORMAT </w:instrText>
    </w:r>
    <w:r>
      <w:fldChar w:fldCharType="separate"/>
    </w:r>
    <w:r w:rsidR="00264219">
      <w:rPr>
        <w:noProof/>
      </w:rPr>
      <w:t>3</w:t>
    </w:r>
    <w:r>
      <w:fldChar w:fldCharType="end"/>
    </w:r>
  </w:p>
  <w:permEnd w:id="962166326"/>
  <w:p w:rsidR="00810AAA" w:rsidRPr="00810AAA" w:rsidRDefault="007F656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7F656D"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6421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F100B"/>
    <w:rsid w:val="007F656D"/>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442844899">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5071.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148148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2017-04-10T11:57:00Z</cp:lastPrinted>
  <dcterms:created xsi:type="dcterms:W3CDTF">2017-06-29T09:39:00Z</dcterms:created>
  <dcterms:modified xsi:type="dcterms:W3CDTF">2017-06-29T09:39:00Z</dcterms:modified>
</cp:coreProperties>
</file>